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cs="Calibri" w:cstheme="minorHAnsi"/>
          <w:sz w:val="24"/>
          <w:szCs w:val="24"/>
        </w:rPr>
      </w:pPr>
      <w:r>
        <w:rPr>
          <w:rFonts w:cs="Calibri" w:cstheme="minorHAnsi"/>
          <w:color w:val="000000"/>
          <w:sz w:val="24"/>
          <w:szCs w:val="24"/>
          <w:shd w:fill="FFFFFF" w:val="clear"/>
        </w:rPr>
        <w:t xml:space="preserve">Doc. dr. sc. Mirjana Kondor-Langer nakon završene Opće gimnazije u Daruvaru </w:t>
      </w:r>
      <w:r>
        <w:rPr>
          <w:rFonts w:cs="Calibri" w:cstheme="minorHAnsi"/>
          <w:sz w:val="24"/>
          <w:szCs w:val="24"/>
        </w:rPr>
        <w:t xml:space="preserve">studirala je na Visokoj policijskoj školi u Zagrebu </w:t>
      </w:r>
      <w:r>
        <w:rPr>
          <w:rFonts w:cs="Calibri" w:cstheme="minorHAnsi"/>
          <w:color w:val="000000"/>
          <w:sz w:val="24"/>
          <w:szCs w:val="24"/>
          <w:shd w:fill="FFFFFF" w:val="clear"/>
        </w:rPr>
        <w:t>(sada Veleučilište kriminalistike i javne sigurnosti)</w:t>
      </w:r>
      <w:r>
        <w:rPr>
          <w:rFonts w:cs="Calibri" w:cstheme="minorHAnsi"/>
          <w:sz w:val="24"/>
          <w:szCs w:val="24"/>
        </w:rPr>
        <w:t>. Diplomirala je 2003. godine, a 2015. godine pod mentorstvom redovitog profesora Da</w:t>
      </w:r>
      <w:bookmarkStart w:id="0" w:name="_GoBack"/>
      <w:bookmarkEnd w:id="0"/>
      <w:r>
        <w:rPr>
          <w:rFonts w:cs="Calibri" w:cstheme="minorHAnsi"/>
          <w:sz w:val="24"/>
          <w:szCs w:val="24"/>
        </w:rPr>
        <w:t>vora Derenčinovića na Pravnom fakultetu Sveučilišta u Zagrebu obranila je doktorsku disertaciju „Kriminološki i kaznenopravni aspekti ubojstva i teškoga ubojstva u obitelji“. U periodu od 2019. do 2022. godine bila je voditeljica Centra za policijska istraživanja Policijske škole Zagreb.</w:t>
      </w:r>
      <w:r>
        <w:rPr>
          <w:rFonts w:cs="Calibri" w:cstheme="minorHAnsi"/>
          <w:color w:val="000000"/>
          <w:sz w:val="24"/>
          <w:szCs w:val="24"/>
          <w:shd w:fill="FFFFFF" w:val="clear"/>
        </w:rPr>
        <w:t xml:space="preserve"> </w:t>
      </w:r>
      <w:r>
        <w:rPr>
          <w:rFonts w:cs="Calibri" w:cstheme="minorHAnsi"/>
          <w:sz w:val="24"/>
          <w:szCs w:val="24"/>
        </w:rPr>
        <w:t>Sada je profesorica visoke škole na Veleučilištu kriminalistike i javne sigurnosti u  Zagreb gdje predaje nekoliko predmeta iz područja kriminalistike. Na Pravnom fakultetu u Osijeku, Sveučilišta Josipa Jurja Strossmayera, 2019. godine, izabrana je u naslovno znanstveno-nastavno zvanje docenta. Prije zaposlenja na Visokoj policijskoj školi radila je kao policijska službenica i voditeljica grupe u Policijskoj upravi zagrebačkoj (Odjel za krvne delikte). Pod vodstvom redovitog profesora Mladena Singera sudjelovala je u nekoliko znanstvenih istraživanja iz područja kriminologije koja su uključivala maloljetničku delinkvenciju i nasilne delikte. Kao jedna od autorica knjige „Ubojstva u obitelji“, 2014. godine, nagrađena je nagradom Croatian Grand Prix security 2014. za najbolju knjigu iz područja sigurnosti.</w:t>
      </w:r>
    </w:p>
    <w:p>
      <w:pPr>
        <w:pStyle w:val="Normal"/>
        <w:jc w:val="both"/>
        <w:rPr>
          <w:rFonts w:cs="Calibri" w:cstheme="minorHAnsi"/>
          <w:b/>
          <w:b/>
          <w:sz w:val="24"/>
          <w:szCs w:val="24"/>
        </w:rPr>
      </w:pPr>
      <w:r>
        <w:rPr>
          <w:rFonts w:cs="Calibri" w:cstheme="minorHAnsi"/>
          <w:b/>
          <w:sz w:val="24"/>
          <w:szCs w:val="24"/>
        </w:rPr>
        <w:t>Kvalifikacije:</w:t>
      </w:r>
    </w:p>
    <w:p>
      <w:pPr>
        <w:pStyle w:val="Normal"/>
        <w:jc w:val="both"/>
        <w:rPr>
          <w:rFonts w:cs="Calibri" w:cstheme="minorHAnsi"/>
          <w:sz w:val="24"/>
          <w:szCs w:val="24"/>
        </w:rPr>
      </w:pPr>
      <w:r>
        <w:rPr>
          <w:rFonts w:cs="Calibri" w:cstheme="minorHAnsi"/>
          <w:sz w:val="24"/>
          <w:szCs w:val="24"/>
        </w:rPr>
        <w:t>Doktorica pravnih znanosti (2015), Pravni fakultet u Zagrebu</w:t>
      </w:r>
    </w:p>
    <w:p>
      <w:pPr>
        <w:pStyle w:val="Normal"/>
        <w:jc w:val="both"/>
        <w:rPr>
          <w:rFonts w:cs="Calibri" w:cstheme="minorHAnsi"/>
          <w:sz w:val="24"/>
          <w:szCs w:val="24"/>
        </w:rPr>
      </w:pPr>
      <w:r>
        <w:rPr>
          <w:rFonts w:cs="Calibri" w:cstheme="minorHAnsi"/>
          <w:sz w:val="24"/>
          <w:szCs w:val="24"/>
        </w:rPr>
        <w:t xml:space="preserve">Diplomirani kriminalist </w:t>
      </w:r>
      <w:r>
        <w:rPr>
          <w:rFonts w:cs="Calibri" w:cstheme="minorHAnsi"/>
          <w:sz w:val="24"/>
          <w:szCs w:val="24"/>
        </w:rPr>
        <w:t>(2003)</w:t>
      </w:r>
      <w:r>
        <w:rPr>
          <w:rFonts w:cs="Calibri" w:cstheme="minorHAnsi"/>
          <w:sz w:val="24"/>
          <w:szCs w:val="24"/>
        </w:rPr>
        <w:t>, Visoka policijska škola</w:t>
      </w:r>
    </w:p>
    <w:p>
      <w:pPr>
        <w:pStyle w:val="Normal"/>
        <w:jc w:val="both"/>
        <w:rPr>
          <w:rFonts w:cs="Calibri" w:cstheme="minorHAnsi"/>
          <w:b/>
          <w:b/>
          <w:sz w:val="24"/>
          <w:szCs w:val="24"/>
        </w:rPr>
      </w:pPr>
      <w:r>
        <w:rPr>
          <w:rFonts w:cs="Calibri" w:cstheme="minorHAnsi"/>
          <w:b/>
          <w:sz w:val="24"/>
          <w:szCs w:val="24"/>
        </w:rPr>
        <w:t>Odabrane publikacije:</w:t>
      </w:r>
    </w:p>
    <w:p>
      <w:pPr>
        <w:pStyle w:val="Normal"/>
        <w:jc w:val="both"/>
        <w:rPr>
          <w:rFonts w:eastAsia="Times New Roman" w:cs="Calibri" w:cstheme="minorHAnsi"/>
          <w:b/>
          <w:b/>
          <w:sz w:val="24"/>
          <w:szCs w:val="24"/>
          <w:lang w:eastAsia="hr-HR"/>
        </w:rPr>
      </w:pPr>
      <w:r>
        <w:rPr>
          <w:rFonts w:eastAsia="Times New Roman" w:cs="Calibri" w:cstheme="minorHAnsi"/>
          <w:b/>
          <w:sz w:val="24"/>
          <w:szCs w:val="24"/>
          <w:lang w:eastAsia="hr-HR"/>
        </w:rPr>
        <w:t>Knjige:</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Borovec, K., Kondor-Langer, M. (2022). Čovjek – čimbenik sigurnosti cestovnog prometa. Zagreb: Ministarstvo unutarnjih poslova.</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Tomičić, Z., Novokmet, A., Kondor-Langer, M. (2019). Nestanci djece i prava djece žrtava kaznenih djela prije i tijekom kaznenog postupka., u: Župan, M. (ur.) Prekogranično kretanje djece u Europskoj Uniji (str. 183.-208.). Osijek: Pravni fakultet Sveučilišta Josipa Jurja Strossmayera u Osijeku.</w:t>
      </w:r>
    </w:p>
    <w:p>
      <w:pPr>
        <w:pStyle w:val="Normal"/>
        <w:jc w:val="both"/>
        <w:rPr>
          <w:rFonts w:eastAsia="Times New Roman" w:cs="Calibri" w:cstheme="minorHAnsi"/>
          <w:sz w:val="24"/>
          <w:szCs w:val="24"/>
          <w:lang w:eastAsia="hr-HR"/>
        </w:rPr>
      </w:pPr>
      <w:r>
        <w:rPr>
          <w:rFonts w:eastAsia="Times New Roman" w:cs="Calibri" w:cstheme="minorHAnsi"/>
          <w:sz w:val="24"/>
          <w:szCs w:val="20"/>
          <w:lang w:eastAsia="en-GB"/>
        </w:rPr>
        <w:t>Milivojević, L., Kondor-Langer, M. (2014). Obilježja povezanosti žrtve i počinitelja obiteljskih ubojstava., u: Pavliček, J. (ur.). Ubojstva u obitelji (</w:t>
      </w:r>
      <w:r>
        <w:rPr>
          <w:rFonts w:eastAsia="Times New Roman" w:cs="Calibri" w:cstheme="minorHAnsi"/>
          <w:sz w:val="24"/>
          <w:szCs w:val="24"/>
          <w:lang w:val="en-AU" w:eastAsia="en-GB"/>
        </w:rPr>
        <w:t>str. 116.-141.). Zagreb: Međunarodno kriminalističko udruženje.</w:t>
      </w:r>
    </w:p>
    <w:p>
      <w:pPr>
        <w:pStyle w:val="Normal"/>
        <w:jc w:val="both"/>
        <w:rPr>
          <w:rFonts w:eastAsia="Times New Roman" w:cs="Calibri" w:cstheme="minorHAnsi"/>
          <w:b/>
          <w:b/>
          <w:sz w:val="24"/>
          <w:szCs w:val="24"/>
          <w:lang w:eastAsia="hr-HR"/>
        </w:rPr>
      </w:pPr>
      <w:r>
        <w:rPr>
          <w:rFonts w:eastAsia="Times New Roman" w:cs="Calibri" w:cstheme="minorHAnsi"/>
          <w:b/>
          <w:sz w:val="24"/>
          <w:szCs w:val="24"/>
          <w:lang w:eastAsia="hr-HR"/>
        </w:rPr>
        <w:t>Članci:</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Kondor-Langer, M. (2021). Stanje i kretanje okolišnog kriminaliteta u Republici Hrvatskoj, u: policija i sigurnost, god. 30., br. 2., 245-274.</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 xml:space="preserve">Pongrac, P., Korda, M., Kondor-Langer, M. (2020). Nasilje nad okolišem: pojedini aspekti., u:  </w:t>
      </w:r>
      <w:r>
        <w:rPr>
          <w:rFonts w:eastAsia="MS Mincho" w:cs="Calibri" w:cstheme="minorHAnsi"/>
          <w:sz w:val="24"/>
          <w:szCs w:val="24"/>
          <w:lang w:eastAsia="ja-JP"/>
        </w:rPr>
        <w:t>Cajner Mraović, I., Kondor-Langer, M. (ur.). Zbornik radova VII. međunarodne znanstveno-stručne konferencije “Istraživački dani Visoke policijske škole u Zagrebu”, 409.-424.</w:t>
      </w:r>
    </w:p>
    <w:p>
      <w:pPr>
        <w:pStyle w:val="Normal"/>
        <w:spacing w:lineRule="auto" w:line="240" w:before="0" w:after="0"/>
        <w:jc w:val="both"/>
        <w:rPr>
          <w:rFonts w:cs="Calibri" w:cstheme="minorHAnsi"/>
          <w:sz w:val="24"/>
          <w:szCs w:val="24"/>
        </w:rPr>
      </w:pPr>
      <w:r>
        <w:rPr>
          <w:rFonts w:cs="Calibri" w:cstheme="minorHAnsi"/>
          <w:sz w:val="24"/>
          <w:szCs w:val="24"/>
        </w:rPr>
        <w:t>Kondor-Langer, M., Gluščić, S. (2019). Certain ways of proving the criminal</w:t>
      </w:r>
    </w:p>
    <w:p>
      <w:pPr>
        <w:pStyle w:val="Normal"/>
        <w:jc w:val="both"/>
        <w:rPr>
          <w:rFonts w:eastAsia="Times New Roman" w:cs="Calibri" w:cstheme="minorHAnsi"/>
          <w:sz w:val="24"/>
          <w:szCs w:val="24"/>
          <w:lang w:eastAsia="hr-HR"/>
        </w:rPr>
      </w:pPr>
      <w:r>
        <w:rPr>
          <w:rFonts w:cs="Calibri" w:cstheme="minorHAnsi"/>
          <w:sz w:val="24"/>
          <w:szCs w:val="24"/>
        </w:rPr>
        <w:t>offence of aggravated larceny, with special reference to the suspect’s interrogation pursuant to article 208a of the Code of criminal procedure, EU and comparative law issues and challenges serie (ECLIC 3), 600-622.</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en-GB"/>
        </w:rPr>
        <w:t>Klier, D., Kondor-Langer, M., Gluščić, S. (2018).  Policijska i državnoodvjetnička praksa u ispitivanju osumnjičenika, u: Hrvatski ljetopis za kazneno pravo i praksu, vol. 25 (2), 447. – 475.</w:t>
      </w:r>
    </w:p>
    <w:p>
      <w:pPr>
        <w:pStyle w:val="Normal"/>
        <w:jc w:val="both"/>
        <w:rPr>
          <w:rFonts w:cs="Calibri" w:cstheme="minorHAnsi"/>
          <w:sz w:val="24"/>
          <w:szCs w:val="24"/>
        </w:rPr>
      </w:pPr>
      <w:r>
        <w:rPr>
          <w:rFonts w:cs="Calibri" w:cstheme="minorHAnsi"/>
          <w:sz w:val="24"/>
          <w:szCs w:val="24"/>
        </w:rPr>
        <w:t>Butorac, K., Kondor-Langer, M. (2018). Family Homicide in The Republic Of Croatia: Perpetrator’s Characteristics In Regard to Their Statement When Conducting The Interview, u: Journal of Forensic Sciences and Criminal Investigation, vol. 11 (2), 1.-7.</w:t>
      </w:r>
    </w:p>
    <w:p>
      <w:pPr>
        <w:pStyle w:val="Normal"/>
        <w:jc w:val="both"/>
        <w:rPr>
          <w:rFonts w:cs="Calibri" w:cstheme="minorHAnsi"/>
          <w:sz w:val="24"/>
          <w:szCs w:val="24"/>
        </w:rPr>
      </w:pPr>
      <w:r>
        <w:rPr>
          <w:rFonts w:cs="Calibri" w:cstheme="minorHAnsi"/>
          <w:sz w:val="24"/>
          <w:szCs w:val="24"/>
        </w:rPr>
        <w:t>Kovčo Vukadin, I., Kondor-Langer, M., Žakman-Ban, V. (2018). Punitivnost studenata Visoke policijske škole, u: Kriminalističke teme, god. XVIII., br. 1-2, 1.-22.</w:t>
      </w:r>
    </w:p>
    <w:p>
      <w:pPr>
        <w:pStyle w:val="Normal"/>
        <w:spacing w:before="0" w:after="160"/>
        <w:jc w:val="both"/>
        <w:rPr>
          <w:rFonts w:cs="Calibri" w:cstheme="minorHAnsi"/>
          <w:color w:val="000000"/>
          <w:sz w:val="24"/>
          <w:szCs w:val="24"/>
          <w:shd w:fill="FFFFFF" w:val="clear"/>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e6749c"/>
    <w:rPr>
      <w:color w:val="0000FF"/>
      <w:u w:val="single"/>
    </w:rPr>
  </w:style>
  <w:style w:type="character" w:styleId="Citation" w:customStyle="1">
    <w:name w:val="citation"/>
    <w:basedOn w:val="DefaultParagraphFont"/>
    <w:qFormat/>
    <w:rsid w:val="00e6749c"/>
    <w:rPr/>
  </w:style>
  <w:style w:type="character" w:styleId="Strong">
    <w:name w:val="Strong"/>
    <w:basedOn w:val="DefaultParagraphFont"/>
    <w:uiPriority w:val="22"/>
    <w:qFormat/>
    <w:rsid w:val="00e6749c"/>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ilnaslova" w:customStyle="1">
    <w:name w:val="Stil naslova"/>
    <w:basedOn w:val="Normal"/>
    <w:next w:val="TextBody"/>
    <w:qFormat/>
    <w:pPr>
      <w:keepNext w:val="true"/>
      <w:spacing w:before="240" w:after="120"/>
    </w:pPr>
    <w:rPr>
      <w:rFonts w:ascii="Liberation Sans" w:hAnsi="Liberation Sans" w:eastAsia="Microsoft YaHei" w:cs="Arial"/>
      <w:sz w:val="28"/>
      <w:szCs w:val="28"/>
    </w:rPr>
  </w:style>
  <w:style w:type="paragraph" w:styleId="Caption1">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ListParagraph">
    <w:name w:val="List Paragraph"/>
    <w:basedOn w:val="Normal"/>
    <w:uiPriority w:val="34"/>
    <w:qFormat/>
    <w:rsid w:val="00e6749c"/>
    <w:pPr>
      <w:spacing w:lineRule="auto" w:line="276" w:before="0" w:after="20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LibreOffice/7.4.3.2$Windows_X86_64 LibreOffice_project/1048a8393ae2eeec98dff31b5c133c5f1d08b890</Application>
  <AppVersion>15.0000</AppVersion>
  <Pages>2</Pages>
  <Words>460</Words>
  <Characters>3027</Characters>
  <CharactersWithSpaces>3475</CharactersWithSpaces>
  <Paragraphs>17</Paragraphs>
  <Company>MUP RH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2023-03-10T08:46:00Z</dcterms:created>
  <dc:creator>KONDOR</dc:creator>
  <dc:description/>
  <dc:language>hr-HR</dc:language>
  <cp:lastModifiedBy/>
  <dcterms:modified xsi:type="dcterms:W3CDTF">2023-03-14T07:31:12Z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