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A9" w:rsidRDefault="007E28A9" w:rsidP="009524FA">
      <w:pPr>
        <w:spacing w:line="360" w:lineRule="auto"/>
        <w:rPr>
          <w:b/>
        </w:rPr>
      </w:pPr>
    </w:p>
    <w:p w:rsidR="009524FA" w:rsidRPr="007E28A9" w:rsidRDefault="009524FA" w:rsidP="009524FA">
      <w:pPr>
        <w:spacing w:line="360" w:lineRule="auto"/>
        <w:rPr>
          <w:b/>
          <w:sz w:val="24"/>
          <w:szCs w:val="24"/>
        </w:rPr>
      </w:pPr>
      <w:r w:rsidRPr="007E28A9">
        <w:rPr>
          <w:b/>
          <w:sz w:val="24"/>
          <w:szCs w:val="24"/>
        </w:rPr>
        <w:t>Članak 5.</w:t>
      </w:r>
      <w:r w:rsidRPr="007E28A9">
        <w:rPr>
          <w:b/>
          <w:sz w:val="24"/>
          <w:szCs w:val="24"/>
        </w:rPr>
        <w:t xml:space="preserve"> UEU </w:t>
      </w:r>
      <w:r w:rsidRPr="007E28A9">
        <w:rPr>
          <w:b/>
          <w:sz w:val="24"/>
          <w:szCs w:val="24"/>
        </w:rPr>
        <w:t>(bivši članak 5. UEZ-a)</w:t>
      </w:r>
    </w:p>
    <w:p w:rsidR="009524FA" w:rsidRDefault="009524FA" w:rsidP="009524FA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A94EF" wp14:editId="7C204945">
                <wp:simplePos x="0" y="0"/>
                <wp:positionH relativeFrom="column">
                  <wp:posOffset>4910455</wp:posOffset>
                </wp:positionH>
                <wp:positionV relativeFrom="paragraph">
                  <wp:posOffset>115570</wp:posOffset>
                </wp:positionV>
                <wp:extent cx="1247775" cy="990600"/>
                <wp:effectExtent l="19050" t="0" r="47625" b="19050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90600"/>
                        </a:xfrm>
                        <a:prstGeom prst="wedgeEllipseCallout">
                          <a:avLst>
                            <a:gd name="adj1" fmla="val -36100"/>
                            <a:gd name="adj2" fmla="val 673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4FA" w:rsidRDefault="009524FA" w:rsidP="009524FA">
                            <w:pPr>
                              <w:jc w:val="center"/>
                            </w:pPr>
                            <w:r>
                              <w:t>Načelo ograničenih ovlasti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left:0;text-align:left;margin-left:386.65pt;margin-top:9.1pt;width:98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UEqQIAAKgFAAAOAAAAZHJzL2Uyb0RvYy54bWysVE1v2zAMvQ/YfxB0b22nadIGdYogXYcB&#10;RVOsHXpWZCn2oK9JSuzs15eSFSdYix2G5eBQIvlIPpG8ue2kQDtmXaNViYvzHCOmqK4atSnxj5f7&#10;syuMnCeqIkIrVuI9c/h2/vnTTWtmbKRrLSpmEYAoN2tNiWvvzSzLHK2ZJO5cG6ZAybWVxMPRbrLK&#10;khbQpchGeT7JWm0rYzVlzsHtXa/E84jPOaN+xbljHokSQ24+fm38rsM3m9+Q2cYSUzc0pUH+IQtJ&#10;GgVBB6g74gna2uYdlGyo1U5zf061zDTnDWWxBqimyP+o5rkmhsVagBxnBprc/4Olj7sni5oK3g4j&#10;RSQ80WpHBFoSIfTWoyIw1Bo3A8Nn82TTyYEYyu24leEfCkFdZHU/sMo6jyhcFqPxdDq9xIiC7vo6&#10;n+SR9uzobazzX5mWKAglblm1YV+EaIxjKY/ILdk9OB9JrlKqpPoJaXMp4M1C1mcXk6JHh5c4MRqd&#10;Gk2mF/lVKAsySJAgHXKA61BuX2CU/F6wEFWo74wDVVDSKOYTm5QthUUQu8SEUqZ80atqUrH++jKH&#10;Xwo3eMTgETAg80aIATsBhAF4j91nneyDK4s9Pjjnf0usdx48YmSt/OAsG6XtRwACqkqRe/sDST01&#10;gSXfrTswCeJaV3voKav7YXOG3jfwrg/E+Sdi4aVgDmFj+BV8uNBtiXWSMKq1/f3RfbCHpgctRi1M&#10;a4ndry2xDCPxTcE4XBfjcRjveBhfTkdwsKea9alGbeVSw4tB70B2UQz2XhxEbrV8hcWyCFFBRRSF&#10;2CWm3h4OS99vEVhNlC0W0QxG2hD/oJ4NDeCB4NBWL90rsSY1t4exeNSHyU4d2JN7tA2eSi+2XvPG&#10;B+WR13SAdRB7KK2usG9Oz9HquGDnbwAAAP//AwBQSwMEFAAGAAgAAAAhAM984KDfAAAACgEAAA8A&#10;AABkcnMvZG93bnJldi54bWxMj8FOwzAQRO9I/IO1SNyog1s1bYhTVUgcekAqgQPc3HhJLOJ1FDtt&#10;+HuWExx35ml2ptzNvhdnHKMLpOF+kYFAaoJ11Gp4e32624CIyZA1fSDU8I0RdtX1VWkKGy70guc6&#10;tYJDKBZGQ5fSUEgZmw69iYswILH3GUZvEp9jK+1oLhzue6mybC29ccQfOjPgY4fNVz15DYN5n5SK&#10;Kxf29fNRHu2Hs4eD1rc38/4BRMI5/cHwW5+rQ8WdTmEiG0WvIc+XS0bZ2CgQDGzXW95yYiFfKZBV&#10;Kf9PqH4AAAD//wMAUEsBAi0AFAAGAAgAAAAhALaDOJL+AAAA4QEAABMAAAAAAAAAAAAAAAAAAAAA&#10;AFtDb250ZW50X1R5cGVzXS54bWxQSwECLQAUAAYACAAAACEAOP0h/9YAAACUAQAACwAAAAAAAAAA&#10;AAAAAAAvAQAAX3JlbHMvLnJlbHNQSwECLQAUAAYACAAAACEA7WGVBKkCAACoBQAADgAAAAAAAAAA&#10;AAAAAAAuAgAAZHJzL2Uyb0RvYy54bWxQSwECLQAUAAYACAAAACEAz3zgoN8AAAAKAQAADwAAAAAA&#10;AAAAAAAAAAADBQAAZHJzL2Rvd25yZXYueG1sUEsFBgAAAAAEAAQA8wAAAA8GAAAAAA==&#10;" adj="3002,25339" fillcolor="#4f81bd [3204]" strokecolor="#243f60 [1604]" strokeweight="2pt">
                <v:textbox>
                  <w:txbxContent>
                    <w:p w:rsidR="009524FA" w:rsidRDefault="009524FA" w:rsidP="009524FA">
                      <w:pPr>
                        <w:jc w:val="center"/>
                      </w:pPr>
                      <w:r>
                        <w:t>Načelo ograničenih ovlasti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Granice nadležnosti Unije </w:t>
      </w:r>
      <w:r>
        <w:t>uređene</w:t>
      </w:r>
      <w:r>
        <w:t xml:space="preserve"> su </w:t>
      </w:r>
      <w:r w:rsidRPr="009524FA">
        <w:rPr>
          <w:b/>
        </w:rPr>
        <w:t>načelom dodjelj</w:t>
      </w:r>
      <w:r w:rsidRPr="009524FA">
        <w:rPr>
          <w:b/>
        </w:rPr>
        <w:t>ivanja</w:t>
      </w:r>
      <w:r>
        <w:t xml:space="preserve">. Izvršavanje nadležnosti </w:t>
      </w:r>
    </w:p>
    <w:p w:rsidR="009524FA" w:rsidRDefault="009524FA" w:rsidP="009524FA">
      <w:pPr>
        <w:pStyle w:val="ListParagraph"/>
        <w:spacing w:line="360" w:lineRule="auto"/>
      </w:pPr>
      <w:r>
        <w:t xml:space="preserve">Unije </w:t>
      </w:r>
      <w:r>
        <w:t>uređeno</w:t>
      </w:r>
      <w:r>
        <w:t xml:space="preserve"> je načelima supsidijarnosti i proporcionalnosti.</w:t>
      </w:r>
      <w:r>
        <w:t xml:space="preserve"> </w:t>
      </w:r>
    </w:p>
    <w:p w:rsidR="009524FA" w:rsidRDefault="009524FA" w:rsidP="009524FA">
      <w:pPr>
        <w:pStyle w:val="ListParagraph"/>
        <w:spacing w:line="360" w:lineRule="auto"/>
      </w:pPr>
    </w:p>
    <w:p w:rsidR="009524FA" w:rsidRDefault="009524FA" w:rsidP="009524FA">
      <w:pPr>
        <w:pStyle w:val="ListParagraph"/>
        <w:spacing w:line="360" w:lineRule="auto"/>
      </w:pPr>
    </w:p>
    <w:p w:rsidR="007E28A9" w:rsidRDefault="009524FA" w:rsidP="009524FA">
      <w:pPr>
        <w:pStyle w:val="ListParagraph"/>
        <w:numPr>
          <w:ilvl w:val="0"/>
          <w:numId w:val="2"/>
        </w:numPr>
        <w:spacing w:line="360" w:lineRule="auto"/>
      </w:pPr>
      <w:r>
        <w:t>Na temelju načela dodjeljivanja, Unija djeluje samo u gr</w:t>
      </w:r>
      <w:r>
        <w:t>anicama nadležnosti koje</w:t>
      </w:r>
    </w:p>
    <w:p w:rsidR="009524FA" w:rsidRDefault="007E28A9" w:rsidP="007E28A9">
      <w:pPr>
        <w:pStyle w:val="ListParagraph"/>
        <w:spacing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2E745" wp14:editId="4E9F213A">
                <wp:simplePos x="0" y="0"/>
                <wp:positionH relativeFrom="column">
                  <wp:posOffset>4043680</wp:posOffset>
                </wp:positionH>
                <wp:positionV relativeFrom="paragraph">
                  <wp:posOffset>446405</wp:posOffset>
                </wp:positionV>
                <wp:extent cx="1866900" cy="828675"/>
                <wp:effectExtent l="19050" t="19050" r="38100" b="20002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28675"/>
                        </a:xfrm>
                        <a:prstGeom prst="wedgeEllipseCallout">
                          <a:avLst>
                            <a:gd name="adj1" fmla="val -22364"/>
                            <a:gd name="adj2" fmla="val 682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4FA" w:rsidRDefault="009524FA" w:rsidP="009524FA">
                            <w:pPr>
                              <w:jc w:val="center"/>
                            </w:pPr>
                            <w:r>
                              <w:t>Načelo supsidijarnosti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" o:spid="_x0000_s1027" type="#_x0000_t63" style="position:absolute;left:0;text-align:left;margin-left:318.4pt;margin-top:35.15pt;width:147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0OrQIAAK8FAAAOAAAAZHJzL2Uyb0RvYy54bWysVE1v2zAMvQ/YfxB0b+24aZoGdYogXYcB&#10;RVOsHXpWZCn2oK9JSuzs15eSFSdYix2G5eCIIvlIPpG8ue2kQDtmXaNViUfnOUZMUV01alPiHy/3&#10;Z1OMnCeqIkIrVuI9c/h2/vnTTWtmrNC1FhWzCECUm7WmxLX3ZpZljtZMEneuDVOg5NpK4kG0m6yy&#10;pAV0KbIizydZq21lrKbMObi965V4HvE5Z9SvOHfMI1FiyM3Hr43fdfhm8xsy21hi6oamNMg/ZCFJ&#10;oyDoAHVHPEFb27yDkg212mnuz6mWmea8oSzWANWM8j+qea6JYbEWIMeZgSb3/2Dp4+7JoqYq8QVG&#10;ikh4otWOCLQkQuitRxeBoda4GRg+myebJAfHUG7HrQz/UAjqIqv7gVXWeUThcjSdTK5zIJ+CblpM&#10;J1eXATQ7ehvr/FemJQqHEres2rAvQjTGsZRH5JbsHpyPJFcpVVL9HGHEpYA3C1mfFcXFZJwe9cSo&#10;ODWaTIvxVcogQUIuhxwgsVBuX2A8+b1gIapQ3xkHqqCkIuYTm5QthUUQu8SEUqb8qFfVpGL99WUO&#10;vxRu8IjlR8CAzBshBuwEEAbgPXbPW7IPriz2+OCc/y2x3nnwiJG18oOzbJS2HwEIqCpF7u0PJPXU&#10;BJZ8t+5iG0XLcLPW1R5ay+p+5pyh9w087wNx/olYeDDoCFgcfgUfLnRbYp1OGNXa/v7oPthD74MW&#10;oxaGtsTu15ZYhpH4pmAqrkfjcZjyKIwvrwoQ7KlmfapRW7nU8HDQQpBdPAZ7Lw5HbrV8hf2yCFFB&#10;RRSF2CWm3h6Epe+XCWwoyhaLaAaTbYh/UM+GBvDAc+iul+6VWJN63MN0POrDgJNZbMSe46Nt8FR6&#10;sfWaNz4oj7wmAbZCbKW0wcLaOZWj1XHPzt8AAAD//wMAUEsDBBQABgAIAAAAIQCdVOjc3wAAAAoB&#10;AAAPAAAAZHJzL2Rvd25yZXYueG1sTI9BS8NAEIXvgv9hGcGb3aSBGNNsihaKICiYeultkh03wexu&#10;yG7b+O8dT3p88x7vfVNtFzuKM81h8E5BukpAkOu8HpxR8HHY3xUgQkSncfSOFHxTgG19fVVhqf3F&#10;vdO5iUZwiQslKuhjnEopQ9eTxbDyEzn2Pv1sMbKcjdQzXrjcjnKdJLm0ODhe6HGiXU/dV3OyCvaY&#10;Pr9he3g6Lq/0khZm16zNoNTtzfK4ARFpiX9h+MVndKiZqfUnp4MYFeRZzuhRwX2SgeDAQ5bwoVXA&#10;uwXIupL/X6h/AAAA//8DAFBLAQItABQABgAIAAAAIQC2gziS/gAAAOEBAAATAAAAAAAAAAAAAAAA&#10;AAAAAABbQ29udGVudF9UeXBlc10ueG1sUEsBAi0AFAAGAAgAAAAhADj9If/WAAAAlAEAAAsAAAAA&#10;AAAAAAAAAAAALwEAAF9yZWxzLy5yZWxzUEsBAi0AFAAGAAgAAAAhAAHaPQ6tAgAArwUAAA4AAAAA&#10;AAAAAAAAAAAALgIAAGRycy9lMm9Eb2MueG1sUEsBAi0AFAAGAAgAAAAhAJ1U6NzfAAAACgEAAA8A&#10;AAAAAAAAAAAAAAAABwUAAGRycy9kb3ducmV2LnhtbFBLBQYAAAAABAAEAPMAAAATBgAAAAA=&#10;" adj="5969,25541" fillcolor="#4f81bd [3204]" strokecolor="#243f60 [1604]" strokeweight="2pt">
                <v:textbox>
                  <w:txbxContent>
                    <w:p w:rsidR="009524FA" w:rsidRDefault="009524FA" w:rsidP="009524FA">
                      <w:pPr>
                        <w:jc w:val="center"/>
                      </w:pPr>
                      <w:r>
                        <w:t>Načelo supsidijarnosti</w:t>
                      </w:r>
                    </w:p>
                  </w:txbxContent>
                </v:textbox>
              </v:shape>
            </w:pict>
          </mc:Fallback>
        </mc:AlternateContent>
      </w:r>
      <w:r w:rsidR="009524FA">
        <w:t xml:space="preserve">su joj </w:t>
      </w:r>
      <w:r w:rsidR="009524FA">
        <w:t xml:space="preserve">države članice </w:t>
      </w:r>
      <w:r w:rsidR="009524FA" w:rsidRPr="009524FA">
        <w:rPr>
          <w:u w:val="single"/>
        </w:rPr>
        <w:t>dodijelile Ugovorima</w:t>
      </w:r>
      <w:r w:rsidR="009524FA">
        <w:t xml:space="preserve"> kako bi postigla njima </w:t>
      </w:r>
      <w:r w:rsidR="009524FA">
        <w:t xml:space="preserve">određene ciljeve. Nadležnosti koje </w:t>
      </w:r>
      <w:r w:rsidR="009524FA">
        <w:t>Ugovorima nisu dodijeljene Uniji, zadržavaju države članice.</w:t>
      </w:r>
    </w:p>
    <w:p w:rsidR="009524FA" w:rsidRDefault="009524FA" w:rsidP="009524FA">
      <w:pPr>
        <w:pStyle w:val="ListParagraph"/>
      </w:pPr>
    </w:p>
    <w:p w:rsidR="009524FA" w:rsidRDefault="009524FA" w:rsidP="009524FA">
      <w:pPr>
        <w:pStyle w:val="ListParagraph"/>
        <w:spacing w:line="360" w:lineRule="auto"/>
      </w:pPr>
    </w:p>
    <w:p w:rsidR="009524FA" w:rsidRDefault="009524FA" w:rsidP="009524FA">
      <w:pPr>
        <w:pStyle w:val="ListParagraph"/>
        <w:spacing w:line="360" w:lineRule="auto"/>
      </w:pPr>
    </w:p>
    <w:p w:rsidR="007E28A9" w:rsidRDefault="007E28A9" w:rsidP="009524FA">
      <w:pPr>
        <w:pStyle w:val="ListParagraph"/>
        <w:spacing w:line="360" w:lineRule="auto"/>
      </w:pPr>
    </w:p>
    <w:p w:rsidR="009524FA" w:rsidRDefault="009524FA" w:rsidP="009524FA">
      <w:pPr>
        <w:pStyle w:val="ListParagraph"/>
        <w:numPr>
          <w:ilvl w:val="0"/>
          <w:numId w:val="2"/>
        </w:numPr>
        <w:spacing w:line="360" w:lineRule="auto"/>
      </w:pPr>
      <w:r>
        <w:t xml:space="preserve">Na temelju načela supsidijarnosti, u područjima </w:t>
      </w:r>
      <w:r w:rsidRPr="009524FA">
        <w:rPr>
          <w:u w:val="single"/>
        </w:rPr>
        <w:t>k</w:t>
      </w:r>
      <w:r w:rsidRPr="009524FA">
        <w:rPr>
          <w:u w:val="single"/>
        </w:rPr>
        <w:t xml:space="preserve">oja nisu u njezinoj isključivoj </w:t>
      </w:r>
      <w:r w:rsidRPr="009524FA">
        <w:rPr>
          <w:u w:val="single"/>
        </w:rPr>
        <w:t>nadležnosti</w:t>
      </w:r>
      <w:r>
        <w:t>, Unija djeluje samo ako i u mjeri u kojoj ciljev</w:t>
      </w:r>
      <w:r>
        <w:t xml:space="preserve">e predloženog djelovanja države </w:t>
      </w:r>
      <w:r>
        <w:t>članice ne mogu dostatno ostvariti na središnjoj, regionalnoj ili lok</w:t>
      </w:r>
      <w:r>
        <w:t xml:space="preserve">alnoj razini, nego se zbog </w:t>
      </w:r>
      <w:r>
        <w:t xml:space="preserve">opsega ili učinka predloženog djelovanja oni na bolji način </w:t>
      </w:r>
      <w:r>
        <w:t xml:space="preserve">mogu ostvariti na razini Unije. </w:t>
      </w:r>
      <w:r>
        <w:t xml:space="preserve">Institucije Unije primjenjuju načelo supsidijarnosti kako je </w:t>
      </w:r>
      <w:r>
        <w:t xml:space="preserve">utvrđeno u Protokolu o primjeni </w:t>
      </w:r>
      <w:r>
        <w:t xml:space="preserve">načela supsidijarnosti i proporcionalnosti. Nacionalni parlamenti osiguravaju </w:t>
      </w:r>
      <w:r>
        <w:t xml:space="preserve">usklađenost s </w:t>
      </w:r>
      <w:r>
        <w:t xml:space="preserve">načelom supsidijarnosti u skladu s postupkom koji je </w:t>
      </w:r>
      <w:r>
        <w:t>određen</w:t>
      </w:r>
      <w:r>
        <w:t xml:space="preserve"> u tom Protokolu.</w:t>
      </w:r>
    </w:p>
    <w:p w:rsidR="009524FA" w:rsidRDefault="009524FA" w:rsidP="009524FA">
      <w:pPr>
        <w:pStyle w:val="ListParagraph"/>
        <w:spacing w:line="360" w:lineRule="auto"/>
      </w:pPr>
    </w:p>
    <w:p w:rsidR="009524FA" w:rsidRDefault="009524FA" w:rsidP="009524FA">
      <w:pPr>
        <w:pStyle w:val="ListParagraph"/>
        <w:spacing w:line="360" w:lineRule="auto"/>
      </w:pPr>
    </w:p>
    <w:p w:rsidR="009524FA" w:rsidRDefault="009524FA" w:rsidP="009524FA">
      <w:pPr>
        <w:pStyle w:val="ListParagraph"/>
        <w:spacing w:line="360" w:lineRule="auto"/>
      </w:pPr>
    </w:p>
    <w:p w:rsidR="009524FA" w:rsidRDefault="009524FA" w:rsidP="009524FA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1957706</wp:posOffset>
                </wp:positionH>
                <wp:positionV relativeFrom="paragraph">
                  <wp:posOffset>1155700</wp:posOffset>
                </wp:positionV>
                <wp:extent cx="1905000" cy="945515"/>
                <wp:effectExtent l="342900" t="381000" r="38100" b="4508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45515"/>
                        </a:xfrm>
                        <a:prstGeom prst="wedgeEllipseCallout">
                          <a:avLst>
                            <a:gd name="adj1" fmla="val -67708"/>
                            <a:gd name="adj2" fmla="val -884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4FA" w:rsidRDefault="009524FA" w:rsidP="009524FA">
                            <w:pPr>
                              <w:jc w:val="center"/>
                            </w:pPr>
                            <w:r>
                              <w:t>Načelo proporcionalnosti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" o:spid="_x0000_s1028" type="#_x0000_t63" style="position:absolute;left:0;text-align:left;margin-left:154.15pt;margin-top:91pt;width:150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0TrQIAALAFAAAOAAAAZHJzL2Uyb0RvYy54bWysVE1v2zAMvQ/YfxB0b21nTpsGdYogXYcB&#10;xVqsHXpWZCn2oK9JSuzs14+SFSdbix2GXWxRJB/JJ5LXN70UaMesa7WqcHGeY8QU1XWrNhX+9nx3&#10;NsPIeaJqIrRiFd4zh28W799dd2bOJrrRomYWAYhy885UuPHezLPM0YZJ4s61YQqUXFtJPIh2k9WW&#10;dIAuRTbJ84us07Y2VlPmHNzeDkq8iPicM+ofOHfMI1FhyM3Hr43fdfhmi2sy31himpamNMg/ZCFJ&#10;qyDoCHVLPEFb276Cki212mnuz6mWmea8pSzWANUU+R/VPDXEsFgLkOPMSJP7f7D0y+7RoraucImR&#10;IhKe6GFHBFoRIfTWozIw1Bk3B8Mn82iT5OAYyu25leEPhaA+srofWWW9RxQui6t8mudAPgXdVTmd&#10;FtMAmh29jXX+E9MShUOFO1Zv2EchWuNYyiNyS3b3zkeS65Qqqb8XGHEp4M1C1mcXl5f5LD3qidHk&#10;N6PZrPwQ64IUEiacDklAZqHeocJ48nvBQlihvjIOXEFNk5hQ7FK2EhZB8AoTSpnyxaBqSM2G61B8&#10;bDQIMnrE+iNgQOatECN2AggT8Bp7IC7ZB1cWm3x0zv+W2OA8esTIWvnRWbZK27cABFSVIg/2B5IG&#10;agJLvl/3sY8mwTLcrHW9h96yehg6Z+hdC+97T5x/JBZeDFoCNod/gA8XuquwTieMGm1/vnUf7KH5&#10;QYtRB1NbYfdjSyzDSHxWMBZXRVmGMY9COb2cgGBPNetTjdrKlYaHgx6C7OIx2HtxOHKr5QssmGWI&#10;CiqiKMSuMPX2IKz8sE1gRVG2XEYzGG1D/L16MjSAB55Ddz33L8Sa1OQexuOLPkx4asSB46Nt8FR6&#10;ufWatz4oj7wmAdZCbKW0wsLeOZWj1XHRLn4BAAD//wMAUEsDBBQABgAIAAAAIQBBMjQe2wAAAAsB&#10;AAAPAAAAZHJzL2Rvd25yZXYueG1sTI/NTsMwEITvSLyDtUjcqE0CVRriVBCJOwQOHLexSQL+iWyn&#10;Td6ehQs97sxo9ptqv1jDjjrE0TsJtxsBTLvOq9H1Et7fnm8KYDGhU2i80xJWHWFfX15UWCp/cq/6&#10;2KaeUYmLJUoYUppKzmM3aItx4yftyPv0wWKiM/RcBTxRuTU8E2LLLY6OPgw46WbQ3Xc7WwnNUxOK&#10;nVnbl6843693mfL4oaS8vloeH4AlvaT/MPziEzrUxHTws1ORGQm5KHKKklFkNIoS2z/lQFYudsDr&#10;ip9vqH8AAAD//wMAUEsBAi0AFAAGAAgAAAAhALaDOJL+AAAA4QEAABMAAAAAAAAAAAAAAAAAAAAA&#10;AFtDb250ZW50X1R5cGVzXS54bWxQSwECLQAUAAYACAAAACEAOP0h/9YAAACUAQAACwAAAAAAAAAA&#10;AAAAAAAvAQAAX3JlbHMvLnJlbHNQSwECLQAUAAYACAAAACEAOovNE60CAACwBQAADgAAAAAAAAAA&#10;AAAAAAAuAgAAZHJzL2Uyb0RvYy54bWxQSwECLQAUAAYACAAAACEAQTI0HtsAAAALAQAADwAAAAAA&#10;AAAAAAAAAAAHBQAAZHJzL2Rvd25yZXYueG1sUEsFBgAAAAAEAAQA8wAAAA8GAAAAAA==&#10;" adj="-3825,-8302" fillcolor="#4f81bd [3204]" strokecolor="#243f60 [1604]" strokeweight="2pt">
                <v:textbox>
                  <w:txbxContent>
                    <w:p w:rsidR="009524FA" w:rsidRDefault="009524FA" w:rsidP="009524FA">
                      <w:pPr>
                        <w:jc w:val="center"/>
                      </w:pPr>
                      <w:r>
                        <w:t>Načelo proporcionalnosti</w:t>
                      </w:r>
                    </w:p>
                  </w:txbxContent>
                </v:textbox>
              </v:shape>
            </w:pict>
          </mc:Fallback>
        </mc:AlternateContent>
      </w:r>
      <w:r>
        <w:t>Na temelju načela proporcionalnosti, sadržaj i oblik djel</w:t>
      </w:r>
      <w:r>
        <w:t xml:space="preserve">ovanja Unije ne prelazi ono što </w:t>
      </w:r>
      <w:r>
        <w:t xml:space="preserve">je potrebno za ostvarivanje ciljeva </w:t>
      </w:r>
      <w:r>
        <w:t xml:space="preserve">Ugovora. </w:t>
      </w:r>
      <w:r>
        <w:t xml:space="preserve">Institucije Unije primjenjuju načelo proporcionalnosti kako je </w:t>
      </w:r>
      <w:r>
        <w:t xml:space="preserve">utvrđeno u Protokolu o </w:t>
      </w:r>
      <w:r>
        <w:t>primjeni načela supsidijarnosti i proporcionalnosti.</w:t>
      </w:r>
    </w:p>
    <w:p w:rsidR="009524FA" w:rsidRDefault="009524FA">
      <w:r>
        <w:br w:type="page"/>
      </w:r>
    </w:p>
    <w:p w:rsidR="007E28A9" w:rsidRDefault="007E28A9" w:rsidP="00026205">
      <w:pPr>
        <w:spacing w:line="360" w:lineRule="auto"/>
      </w:pPr>
    </w:p>
    <w:p w:rsidR="009524FA" w:rsidRPr="007E28A9" w:rsidRDefault="00026205" w:rsidP="007E28A9">
      <w:pPr>
        <w:spacing w:line="360" w:lineRule="auto"/>
        <w:jc w:val="center"/>
        <w:rPr>
          <w:b/>
          <w:sz w:val="28"/>
          <w:szCs w:val="28"/>
        </w:rPr>
      </w:pPr>
      <w:r w:rsidRPr="007E28A9">
        <w:rPr>
          <w:b/>
          <w:sz w:val="28"/>
          <w:szCs w:val="28"/>
        </w:rPr>
        <w:t>Ovlasti Unije</w:t>
      </w:r>
    </w:p>
    <w:p w:rsidR="00026205" w:rsidRPr="007E28A9" w:rsidRDefault="00026205" w:rsidP="00026205">
      <w:pPr>
        <w:spacing w:line="360" w:lineRule="auto"/>
        <w:rPr>
          <w:b/>
          <w:sz w:val="24"/>
          <w:szCs w:val="24"/>
        </w:rPr>
      </w:pPr>
      <w:r w:rsidRPr="007E28A9">
        <w:rPr>
          <w:b/>
          <w:sz w:val="24"/>
          <w:szCs w:val="24"/>
        </w:rPr>
        <w:t>Članak 3.</w:t>
      </w:r>
      <w:r w:rsidRPr="007E28A9">
        <w:rPr>
          <w:b/>
          <w:sz w:val="24"/>
          <w:szCs w:val="24"/>
        </w:rPr>
        <w:t xml:space="preserve"> UFEU – ISKLJUČIVE OVLASTI </w:t>
      </w:r>
    </w:p>
    <w:p w:rsidR="00026205" w:rsidRDefault="00026205" w:rsidP="00026205">
      <w:pPr>
        <w:spacing w:line="360" w:lineRule="auto"/>
      </w:pPr>
      <w:r>
        <w:t>1. Unija ima isključivu nadležnost u sljedećim područjima:</w:t>
      </w:r>
    </w:p>
    <w:p w:rsidR="00026205" w:rsidRDefault="00026205" w:rsidP="00026205">
      <w:pPr>
        <w:spacing w:line="360" w:lineRule="auto"/>
        <w:ind w:firstLine="708"/>
      </w:pPr>
      <w:r>
        <w:t>(a) carinskoj uniji;</w:t>
      </w:r>
    </w:p>
    <w:p w:rsidR="00026205" w:rsidRDefault="00026205" w:rsidP="00026205">
      <w:pPr>
        <w:spacing w:line="360" w:lineRule="auto"/>
        <w:ind w:firstLine="708"/>
      </w:pPr>
      <w:r>
        <w:t xml:space="preserve">(b) </w:t>
      </w:r>
      <w:r>
        <w:t>utvrđivanju</w:t>
      </w:r>
      <w:r>
        <w:t xml:space="preserve"> pravila o tržišnom natjecanju potrebnih za funkcioniranje unutarnjeg tržišta;</w:t>
      </w:r>
    </w:p>
    <w:p w:rsidR="00026205" w:rsidRDefault="00026205" w:rsidP="00026205">
      <w:pPr>
        <w:spacing w:line="360" w:lineRule="auto"/>
        <w:ind w:firstLine="708"/>
      </w:pPr>
      <w:r>
        <w:t>(c) monetarnoj politici za države članice čija je valuta euro;</w:t>
      </w:r>
    </w:p>
    <w:p w:rsidR="00026205" w:rsidRDefault="00026205" w:rsidP="00026205">
      <w:pPr>
        <w:spacing w:line="360" w:lineRule="auto"/>
        <w:ind w:firstLine="708"/>
      </w:pPr>
      <w:r>
        <w:t>(d) očuvanju morskih bioloških resursa u okviru zajedničke ribarstvene politike;</w:t>
      </w:r>
    </w:p>
    <w:p w:rsidR="00026205" w:rsidRDefault="00026205" w:rsidP="00026205">
      <w:pPr>
        <w:spacing w:line="360" w:lineRule="auto"/>
        <w:ind w:firstLine="708"/>
      </w:pPr>
      <w:r>
        <w:t>(e) zajedničkoj trgovinskoj politici.</w:t>
      </w:r>
    </w:p>
    <w:p w:rsidR="00026205" w:rsidRDefault="00026205" w:rsidP="00026205">
      <w:pPr>
        <w:spacing w:line="360" w:lineRule="auto"/>
      </w:pPr>
      <w:r>
        <w:t xml:space="preserve">2. Unija ima i isključivu nadležnost za sklapanje </w:t>
      </w:r>
      <w:r>
        <w:t xml:space="preserve">međunarodnog sporazuma kad je njegovo </w:t>
      </w:r>
      <w:r>
        <w:t xml:space="preserve">sklapanje </w:t>
      </w:r>
      <w:r>
        <w:t>predviđeno</w:t>
      </w:r>
      <w:r>
        <w:t xml:space="preserve"> zakonodavnim aktom Unije ili ako je </w:t>
      </w:r>
      <w:r>
        <w:t xml:space="preserve">takav sporazum potreban kako bi </w:t>
      </w:r>
      <w:r>
        <w:t>Uniji omogućio izvršavanje njezine unutarnje nadležnosti</w:t>
      </w:r>
      <w:r>
        <w:t xml:space="preserve"> ili u mjeri u kojoj bi njegovo </w:t>
      </w:r>
      <w:r>
        <w:t>sklapanje moglo utjecati na zajednička pravila ili izmijeniti njihov opseg.</w:t>
      </w:r>
    </w:p>
    <w:p w:rsidR="00026205" w:rsidRDefault="00026205">
      <w:r>
        <w:br w:type="page"/>
      </w:r>
    </w:p>
    <w:p w:rsidR="00026205" w:rsidRDefault="00026205" w:rsidP="00026205">
      <w:pPr>
        <w:spacing w:line="360" w:lineRule="auto"/>
      </w:pPr>
    </w:p>
    <w:p w:rsidR="00026205" w:rsidRPr="007E28A9" w:rsidRDefault="00026205" w:rsidP="00026205">
      <w:pPr>
        <w:spacing w:line="360" w:lineRule="auto"/>
        <w:rPr>
          <w:b/>
          <w:sz w:val="24"/>
          <w:szCs w:val="24"/>
        </w:rPr>
      </w:pPr>
      <w:r w:rsidRPr="007E28A9">
        <w:rPr>
          <w:b/>
          <w:sz w:val="24"/>
          <w:szCs w:val="24"/>
        </w:rPr>
        <w:t>Članak 4.</w:t>
      </w:r>
      <w:r w:rsidRPr="007E28A9">
        <w:rPr>
          <w:b/>
          <w:sz w:val="24"/>
          <w:szCs w:val="24"/>
        </w:rPr>
        <w:t xml:space="preserve"> UFEU  - PODIJELJENE OVLASTI</w:t>
      </w:r>
    </w:p>
    <w:p w:rsidR="00026205" w:rsidRDefault="00026205" w:rsidP="00026205">
      <w:pPr>
        <w:spacing w:line="360" w:lineRule="auto"/>
      </w:pPr>
      <w:r>
        <w:t>1. Unija nadležnost dijeli s državama članicama a</w:t>
      </w:r>
      <w:r>
        <w:t xml:space="preserve">ko joj je Ugovorima dodijeljena </w:t>
      </w:r>
      <w:r>
        <w:t>nadležnost koja se ne odnosi na područja iz članaka 3. i 6.</w:t>
      </w:r>
    </w:p>
    <w:p w:rsidR="00026205" w:rsidRDefault="00026205" w:rsidP="00026205">
      <w:pPr>
        <w:spacing w:line="360" w:lineRule="auto"/>
      </w:pPr>
      <w:r>
        <w:t xml:space="preserve">2. Podijeljena nadležnost </w:t>
      </w:r>
      <w:r>
        <w:t>između</w:t>
      </w:r>
      <w:r>
        <w:t xml:space="preserve"> Unije i država članica pri</w:t>
      </w:r>
      <w:r>
        <w:t xml:space="preserve">mjenjuje se u sljedećim glavnim </w:t>
      </w:r>
      <w:r>
        <w:t>područjima:</w:t>
      </w:r>
    </w:p>
    <w:p w:rsidR="00026205" w:rsidRDefault="00026205" w:rsidP="00026205">
      <w:pPr>
        <w:spacing w:line="360" w:lineRule="auto"/>
        <w:ind w:firstLine="708"/>
      </w:pPr>
      <w:r>
        <w:t>(a) unutarnjem tržištu;</w:t>
      </w:r>
    </w:p>
    <w:p w:rsidR="00026205" w:rsidRDefault="00026205" w:rsidP="00026205">
      <w:pPr>
        <w:spacing w:line="360" w:lineRule="auto"/>
        <w:ind w:firstLine="708"/>
      </w:pPr>
      <w:r>
        <w:t xml:space="preserve">(b) socijalnoj politici za aspekte </w:t>
      </w:r>
      <w:r>
        <w:t>utvrđene</w:t>
      </w:r>
      <w:r>
        <w:t xml:space="preserve"> u ovom Ugovoru;</w:t>
      </w:r>
    </w:p>
    <w:p w:rsidR="00026205" w:rsidRDefault="00026205" w:rsidP="00026205">
      <w:pPr>
        <w:spacing w:line="360" w:lineRule="auto"/>
        <w:ind w:firstLine="708"/>
      </w:pPr>
      <w:r>
        <w:t>(c) ekonomskoj, socijalnoj i teritorijalnoj koheziji;</w:t>
      </w:r>
    </w:p>
    <w:p w:rsidR="00026205" w:rsidRDefault="00026205" w:rsidP="00026205">
      <w:pPr>
        <w:spacing w:line="360" w:lineRule="auto"/>
        <w:ind w:firstLine="708"/>
      </w:pPr>
      <w:r>
        <w:t>(d) poljoprivredi i ribarstvu, osim očuvanja morskih bioloških resursa;</w:t>
      </w:r>
    </w:p>
    <w:p w:rsidR="00026205" w:rsidRDefault="00026205" w:rsidP="00026205">
      <w:pPr>
        <w:spacing w:line="360" w:lineRule="auto"/>
        <w:ind w:firstLine="708"/>
      </w:pPr>
      <w:r>
        <w:t>(e) okolišu;</w:t>
      </w:r>
    </w:p>
    <w:p w:rsidR="00026205" w:rsidRDefault="00026205" w:rsidP="00026205">
      <w:pPr>
        <w:spacing w:line="360" w:lineRule="auto"/>
        <w:ind w:firstLine="708"/>
      </w:pPr>
      <w:r>
        <w:t>(f) zaštiti potrošača;</w:t>
      </w:r>
    </w:p>
    <w:p w:rsidR="00026205" w:rsidRDefault="00026205" w:rsidP="00026205">
      <w:pPr>
        <w:spacing w:line="360" w:lineRule="auto"/>
        <w:ind w:firstLine="708"/>
      </w:pPr>
      <w:r>
        <w:t>(g) prometu;</w:t>
      </w:r>
    </w:p>
    <w:p w:rsidR="00026205" w:rsidRDefault="00026205" w:rsidP="00026205">
      <w:pPr>
        <w:spacing w:line="360" w:lineRule="auto"/>
        <w:ind w:firstLine="708"/>
      </w:pPr>
      <w:r>
        <w:t>(h) transeuropskim mrežama;</w:t>
      </w:r>
    </w:p>
    <w:p w:rsidR="00026205" w:rsidRDefault="00026205" w:rsidP="00026205">
      <w:pPr>
        <w:spacing w:line="360" w:lineRule="auto"/>
        <w:ind w:firstLine="708"/>
      </w:pPr>
      <w:r>
        <w:t>(i) energetici;</w:t>
      </w:r>
    </w:p>
    <w:p w:rsidR="00026205" w:rsidRDefault="00026205" w:rsidP="00026205">
      <w:pPr>
        <w:spacing w:line="360" w:lineRule="auto"/>
        <w:ind w:firstLine="708"/>
      </w:pPr>
      <w:r>
        <w:t>(j)</w:t>
      </w:r>
      <w:r w:rsidRPr="00026205">
        <w:t xml:space="preserve"> području slobode, sigurnosti i pravde;</w:t>
      </w:r>
    </w:p>
    <w:p w:rsidR="00026205" w:rsidRDefault="00026205" w:rsidP="00026205">
      <w:pPr>
        <w:spacing w:line="360" w:lineRule="auto"/>
        <w:ind w:firstLine="708"/>
      </w:pPr>
      <w:r>
        <w:t xml:space="preserve">(k) zajedničkoj brizi za sigurnost u pitanjima javnog zdravstva, za aspekte </w:t>
      </w:r>
      <w:r>
        <w:t>utvrđene</w:t>
      </w:r>
      <w:r>
        <w:t xml:space="preserve"> u ovom</w:t>
      </w:r>
    </w:p>
    <w:p w:rsidR="00026205" w:rsidRDefault="00026205" w:rsidP="00026205">
      <w:pPr>
        <w:spacing w:line="360" w:lineRule="auto"/>
        <w:ind w:firstLine="708"/>
      </w:pPr>
      <w:r>
        <w:t>Ugovoru.</w:t>
      </w:r>
    </w:p>
    <w:p w:rsidR="00026205" w:rsidRDefault="00026205" w:rsidP="00026205">
      <w:pPr>
        <w:spacing w:line="360" w:lineRule="auto"/>
      </w:pPr>
      <w:r>
        <w:t xml:space="preserve">3. U područjima istraživanja, tehnološkog razvoja i svemira, Unija </w:t>
      </w:r>
      <w:r>
        <w:t>je nadležna za provođenje</w:t>
      </w:r>
      <w:r>
        <w:t xml:space="preserve"> aktivnosti, posebice za </w:t>
      </w:r>
      <w:r>
        <w:t>utvrđivanje</w:t>
      </w:r>
      <w:r>
        <w:t xml:space="preserve"> i provedbu pr</w:t>
      </w:r>
      <w:r>
        <w:t xml:space="preserve">ograma; međutim, izvršavanje te </w:t>
      </w:r>
      <w:r>
        <w:t>nadležnosti ne smije države članice sprečavati u izvršavanju njihove nadležnosti.</w:t>
      </w:r>
    </w:p>
    <w:p w:rsidR="00026205" w:rsidRDefault="00026205" w:rsidP="00026205">
      <w:pPr>
        <w:spacing w:line="360" w:lineRule="auto"/>
      </w:pPr>
      <w:r>
        <w:t>4. U područjima razvojne suradnje i humanitarne pomoći, Unija je na</w:t>
      </w:r>
      <w:r>
        <w:t>dležna za provođenje</w:t>
      </w:r>
      <w:r>
        <w:t xml:space="preserve"> aktivnosti i zajedničke politike; </w:t>
      </w:r>
      <w:r>
        <w:t>međutim</w:t>
      </w:r>
      <w:r>
        <w:t>, izvr</w:t>
      </w:r>
      <w:r>
        <w:t xml:space="preserve">šavanje te nadležnosti ne smije </w:t>
      </w:r>
      <w:r>
        <w:t>države članice sprečavati u izvršavanju njihove nadležnosti.</w:t>
      </w:r>
    </w:p>
    <w:p w:rsidR="00026205" w:rsidRDefault="00026205">
      <w:r>
        <w:br w:type="page"/>
      </w:r>
    </w:p>
    <w:p w:rsidR="007E28A9" w:rsidRDefault="007E28A9" w:rsidP="00026205">
      <w:pPr>
        <w:spacing w:line="360" w:lineRule="auto"/>
        <w:rPr>
          <w:b/>
        </w:rPr>
      </w:pPr>
    </w:p>
    <w:p w:rsidR="00026205" w:rsidRPr="007E28A9" w:rsidRDefault="00026205" w:rsidP="00026205">
      <w:pPr>
        <w:spacing w:line="360" w:lineRule="auto"/>
        <w:rPr>
          <w:b/>
          <w:sz w:val="24"/>
          <w:szCs w:val="24"/>
        </w:rPr>
      </w:pPr>
      <w:r w:rsidRPr="007E28A9">
        <w:rPr>
          <w:b/>
          <w:sz w:val="24"/>
          <w:szCs w:val="24"/>
        </w:rPr>
        <w:t>Članak 6.</w:t>
      </w:r>
      <w:r w:rsidRPr="007E28A9">
        <w:rPr>
          <w:b/>
          <w:sz w:val="24"/>
          <w:szCs w:val="24"/>
        </w:rPr>
        <w:t xml:space="preserve"> UFEU </w:t>
      </w:r>
      <w:r w:rsidR="007E28A9" w:rsidRPr="007E28A9">
        <w:rPr>
          <w:b/>
          <w:sz w:val="24"/>
          <w:szCs w:val="24"/>
        </w:rPr>
        <w:t xml:space="preserve">- </w:t>
      </w:r>
      <w:r w:rsidRPr="007E28A9">
        <w:rPr>
          <w:b/>
          <w:sz w:val="24"/>
          <w:szCs w:val="24"/>
        </w:rPr>
        <w:t xml:space="preserve">POMOĆNE OVLASTI </w:t>
      </w:r>
    </w:p>
    <w:p w:rsidR="00026205" w:rsidRDefault="00026205" w:rsidP="00026205">
      <w:pPr>
        <w:spacing w:line="360" w:lineRule="auto"/>
      </w:pPr>
      <w:r>
        <w:t>Unija je nadležna za poduzimanje djelovanja kojima se podupiru, koordiniraju ili dopun</w:t>
      </w:r>
      <w:r>
        <w:t>juju</w:t>
      </w:r>
      <w:r w:rsidR="007E28A9">
        <w:t xml:space="preserve"> </w:t>
      </w:r>
      <w:r>
        <w:t>djelovanja država članica. Na europskoj se razini takvo djelovanje odnosi na sljedeća područja:</w:t>
      </w:r>
    </w:p>
    <w:p w:rsidR="00026205" w:rsidRDefault="00026205" w:rsidP="00026205">
      <w:pPr>
        <w:spacing w:line="360" w:lineRule="auto"/>
      </w:pPr>
      <w:r>
        <w:t>(a) zaštitu i poboljšanje zdravlja ljudi;</w:t>
      </w:r>
    </w:p>
    <w:p w:rsidR="00026205" w:rsidRDefault="00026205" w:rsidP="00026205">
      <w:pPr>
        <w:spacing w:line="360" w:lineRule="auto"/>
      </w:pPr>
      <w:r>
        <w:t>(b) industriju;</w:t>
      </w:r>
    </w:p>
    <w:p w:rsidR="00026205" w:rsidRDefault="00026205" w:rsidP="00026205">
      <w:pPr>
        <w:spacing w:line="360" w:lineRule="auto"/>
      </w:pPr>
      <w:r>
        <w:t>(c) kulturu;</w:t>
      </w:r>
    </w:p>
    <w:p w:rsidR="00026205" w:rsidRDefault="00026205" w:rsidP="00026205">
      <w:pPr>
        <w:spacing w:line="360" w:lineRule="auto"/>
      </w:pPr>
      <w:r>
        <w:t>(d) turizam;</w:t>
      </w:r>
    </w:p>
    <w:p w:rsidR="00026205" w:rsidRDefault="00026205" w:rsidP="00026205">
      <w:pPr>
        <w:spacing w:line="360" w:lineRule="auto"/>
      </w:pPr>
      <w:r>
        <w:t>(e) obrazovanje, strukovno obrazovanje, mlade i sport;</w:t>
      </w:r>
    </w:p>
    <w:p w:rsidR="00026205" w:rsidRDefault="00026205" w:rsidP="00026205">
      <w:pPr>
        <w:spacing w:line="360" w:lineRule="auto"/>
      </w:pPr>
      <w:r>
        <w:t>(f) civilnu zaštitu;</w:t>
      </w:r>
    </w:p>
    <w:p w:rsidR="00026205" w:rsidRDefault="00026205" w:rsidP="00026205">
      <w:pPr>
        <w:spacing w:line="360" w:lineRule="auto"/>
      </w:pPr>
      <w:r>
        <w:t>(g) administrativnu suradnju.</w:t>
      </w:r>
    </w:p>
    <w:p w:rsidR="00026205" w:rsidRDefault="00026205">
      <w:r>
        <w:br w:type="page"/>
      </w:r>
    </w:p>
    <w:p w:rsidR="007E28A9" w:rsidRDefault="007E28A9" w:rsidP="00026205">
      <w:pPr>
        <w:spacing w:line="360" w:lineRule="auto"/>
      </w:pPr>
    </w:p>
    <w:p w:rsidR="00026205" w:rsidRPr="007E28A9" w:rsidRDefault="00026205" w:rsidP="00026205">
      <w:pPr>
        <w:spacing w:line="360" w:lineRule="auto"/>
        <w:rPr>
          <w:b/>
          <w:sz w:val="24"/>
          <w:szCs w:val="24"/>
        </w:rPr>
      </w:pPr>
      <w:r w:rsidRPr="007E28A9">
        <w:rPr>
          <w:b/>
          <w:sz w:val="24"/>
          <w:szCs w:val="24"/>
        </w:rPr>
        <w:t>Članak 4 UEU</w:t>
      </w:r>
    </w:p>
    <w:p w:rsidR="00026205" w:rsidRDefault="00026205" w:rsidP="00026205">
      <w:pPr>
        <w:pStyle w:val="ListParagraph"/>
        <w:spacing w:line="360" w:lineRule="auto"/>
      </w:pPr>
      <w:r>
        <w:t>1. U skladu s člankom 5., države članice zadržavaju nadležnosti koje Ugovorima nisu</w:t>
      </w:r>
    </w:p>
    <w:p w:rsidR="00026205" w:rsidRDefault="00026205" w:rsidP="00026205">
      <w:pPr>
        <w:pStyle w:val="ListParagraph"/>
        <w:spacing w:line="360" w:lineRule="auto"/>
      </w:pPr>
      <w:r>
        <w:t>dodijeljene Uniji.</w:t>
      </w:r>
    </w:p>
    <w:p w:rsidR="00026205" w:rsidRDefault="00026205" w:rsidP="00026205">
      <w:pPr>
        <w:pStyle w:val="ListParagraph"/>
        <w:spacing w:line="360" w:lineRule="auto"/>
      </w:pPr>
    </w:p>
    <w:p w:rsidR="00026205" w:rsidRDefault="00026205" w:rsidP="00026205">
      <w:pPr>
        <w:pStyle w:val="ListParagraph"/>
        <w:spacing w:line="360" w:lineRule="auto"/>
      </w:pPr>
      <w:r>
        <w:t>2. Unija poštuje jednakost država članica pred Ugovorima, kao i njihove nacionalne</w:t>
      </w:r>
    </w:p>
    <w:p w:rsidR="00026205" w:rsidRDefault="00026205" w:rsidP="00026205">
      <w:pPr>
        <w:pStyle w:val="ListParagraph"/>
        <w:spacing w:line="360" w:lineRule="auto"/>
      </w:pPr>
      <w:r>
        <w:t>identitete, koji su neodvojivo povezani s njihovim temeljnim političkim i ustavnim</w:t>
      </w:r>
    </w:p>
    <w:p w:rsidR="00026205" w:rsidRDefault="00026205" w:rsidP="00026205">
      <w:pPr>
        <w:pStyle w:val="ListParagraph"/>
        <w:spacing w:line="360" w:lineRule="auto"/>
      </w:pPr>
      <w:r>
        <w:t>strukturama, uključujući regionalnu i lokalnu samoupravu. Ona poštuje njihove temeljne</w:t>
      </w:r>
    </w:p>
    <w:p w:rsidR="00026205" w:rsidRDefault="00026205" w:rsidP="00026205">
      <w:pPr>
        <w:pStyle w:val="ListParagraph"/>
        <w:spacing w:line="360" w:lineRule="auto"/>
      </w:pPr>
      <w:r>
        <w:t>državne funkcije, uključujući osiguranje teritorijalne cjelovitosti države, očuvanje javnog</w:t>
      </w:r>
    </w:p>
    <w:p w:rsidR="00026205" w:rsidRDefault="00026205" w:rsidP="00026205">
      <w:pPr>
        <w:pStyle w:val="ListParagraph"/>
        <w:spacing w:line="360" w:lineRule="auto"/>
      </w:pPr>
      <w:r>
        <w:t>poretka i zaštitu nacionalne sigurnosti. Nacionalna sigurnost posebice ostaje isključiva</w:t>
      </w:r>
    </w:p>
    <w:p w:rsidR="00026205" w:rsidRDefault="00026205" w:rsidP="00026205">
      <w:pPr>
        <w:pStyle w:val="ListParagraph"/>
        <w:spacing w:line="360" w:lineRule="auto"/>
      </w:pPr>
      <w:r>
        <w:t>odgovornost svake države članice.</w:t>
      </w:r>
    </w:p>
    <w:p w:rsidR="00026205" w:rsidRDefault="00026205" w:rsidP="00026205">
      <w:pPr>
        <w:pStyle w:val="ListParagraph"/>
        <w:spacing w:line="360" w:lineRule="auto"/>
      </w:pPr>
    </w:p>
    <w:p w:rsidR="00026205" w:rsidRDefault="00026205" w:rsidP="00026205">
      <w:pPr>
        <w:pStyle w:val="ListParagraph"/>
        <w:spacing w:line="360" w:lineRule="auto"/>
      </w:pPr>
      <w:r>
        <w:t>3. Na temelju načela lojalne suradnje i uz puno uzajamno poštovanje, Unija i države</w:t>
      </w:r>
    </w:p>
    <w:p w:rsidR="00026205" w:rsidRDefault="00026205" w:rsidP="00026205">
      <w:pPr>
        <w:pStyle w:val="ListParagraph"/>
        <w:spacing w:line="360" w:lineRule="auto"/>
      </w:pPr>
      <w:r>
        <w:t>članice međusobno si pomažu pri obavljanju zadaća koje proizlaze iz Ugovora.</w:t>
      </w:r>
    </w:p>
    <w:p w:rsidR="00026205" w:rsidRDefault="00026205" w:rsidP="00026205">
      <w:pPr>
        <w:pStyle w:val="ListParagraph"/>
        <w:spacing w:line="360" w:lineRule="auto"/>
      </w:pPr>
      <w:r>
        <w:t>Države članice poduzimaju sve odgovarajuće mjere, opće ili posebne, kako bi osigurale</w:t>
      </w:r>
    </w:p>
    <w:p w:rsidR="00026205" w:rsidRDefault="00026205" w:rsidP="00026205">
      <w:pPr>
        <w:pStyle w:val="ListParagraph"/>
        <w:spacing w:line="360" w:lineRule="auto"/>
      </w:pPr>
      <w:r>
        <w:t>ispunjavanje obveza koje proizlaze iz Ugovora ili akata institucija Unije.</w:t>
      </w:r>
    </w:p>
    <w:p w:rsidR="00026205" w:rsidRDefault="00026205" w:rsidP="00026205">
      <w:pPr>
        <w:pStyle w:val="ListParagraph"/>
        <w:spacing w:line="360" w:lineRule="auto"/>
      </w:pPr>
      <w:r>
        <w:t>Države članice olakšavaju ostvarivanje zadaća Unije i suzdržavaju se od svake mjere koja bi</w:t>
      </w:r>
    </w:p>
    <w:p w:rsidR="00026205" w:rsidRDefault="00026205" w:rsidP="00026205">
      <w:pPr>
        <w:pStyle w:val="ListParagraph"/>
        <w:spacing w:line="360" w:lineRule="auto"/>
      </w:pPr>
      <w:r>
        <w:t>mogla ugroziti postizanje ciljeva Unije.</w:t>
      </w:r>
    </w:p>
    <w:p w:rsidR="00026205" w:rsidRDefault="00026205" w:rsidP="00026205">
      <w:pPr>
        <w:spacing w:line="36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4536C" wp14:editId="44512A14">
                <wp:simplePos x="0" y="0"/>
                <wp:positionH relativeFrom="column">
                  <wp:posOffset>2500630</wp:posOffset>
                </wp:positionH>
                <wp:positionV relativeFrom="paragraph">
                  <wp:posOffset>328295</wp:posOffset>
                </wp:positionV>
                <wp:extent cx="2105025" cy="1209675"/>
                <wp:effectExtent l="19050" t="419100" r="47625" b="4762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209675"/>
                        </a:xfrm>
                        <a:prstGeom prst="wedgeEllipseCallout">
                          <a:avLst>
                            <a:gd name="adj1" fmla="val -36585"/>
                            <a:gd name="adj2" fmla="val -83962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6205" w:rsidRDefault="00026205" w:rsidP="00026205">
                            <w:pPr>
                              <w:jc w:val="center"/>
                            </w:pPr>
                            <w:r>
                              <w:t>Načelo lojalne suradnje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5" o:spid="_x0000_s1029" type="#_x0000_t63" style="position:absolute;margin-left:196.9pt;margin-top:25.85pt;width:165.7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VprAIAAHMFAAAOAAAAZHJzL2Uyb0RvYy54bWysVEtv2zAMvg/YfxB0b/1onKZBnSJLlmFA&#10;0RZoh50VWbI96DVJid39+lGykyZbT8NyUCiT/Eh+JHV710uB9sy6VqsSZ5cpRkxRXbWqLvG3l83F&#10;DCPniaqI0IqV+JU5fLf4+OG2M3OW60aLilkEIMrNO1PixnszTxJHGyaJu9SGKVBybSXxcLV1UlnS&#10;AboUSZ6m06TTtjJWU+YcfF0PSryI+Jwz6h85d8wjUWLIzcfTxnMbzmRxS+a1JaZp6ZgG+YcsJGkV&#10;BD1CrYknaGfbv6BkS612mvtLqmWiOW8pizVANVn6RzXPDTEs1gLkOHOkyf0/WPqwf7KorUpcYKSI&#10;hBY97olAKyKE3nlUBIY64+Zg+Gye7HhzIIZye25l+IdCUB9ZfT2yynqPKHzMs7RIc4CnoMvy9GZ6&#10;HVGTN3djnf/CtERBKHHHqpp9FqI1jo2JRHLJ/t75yHI15kqqHxlGXApoWkj74mpazCI6tOLEKD8z&#10;ml3dTPNQGKQwYoJ0SCIEcFq01aYVIl5svV0JiyBAiSebWfZpPTqfmQmFOqi2mKQwaJTAMHNBPIjS&#10;AL1O1RgRUcOWUG9jOWfe7p0gMXhDKjaELlL4HSIP5rGEM5xQxZq4ZnCJqtFFqIDH4lIAj6H80Nih&#10;lUHy/baPo3AVPMKXra5eYTysHvbGGbppAf+eOP9ELHAOlcLy+0c4uNBQvh4ljBptf733PdjD/IIW&#10;ow4WD6j5uSOWYSS+Kpjsm2wyCZsaL5PiOoeLPdVsTzVqJ1ca2gJTANlFMdh7cRC51fI7vBHLEBVU&#10;RFGIPTRhvKz88CDAK0PZchnNYDsN8ffq2dAAHpgLzL7034k145h6mPAHfVjScZSGqXqzDZ5KL3de&#10;8/bI+cDr2ADY7NjG8RUKT8fpPVq9vZWL3wAAAP//AwBQSwMEFAAGAAgAAAAhAGkXGo/dAAAACgEA&#10;AA8AAABkcnMvZG93bnJldi54bWxMj0FOwzAURPdI3MH6SGwQderQtIQ4VYTUA9D2AI79SQL2d4id&#10;Ntwes4LlaEYzb6r94iy74BQGTxLWqwwYkvZmoE7C+XR43AELUZFR1hNK+MYA+/r2plKl8Vd6w8sx&#10;diyVUCiVhD7GseQ86B6dCis/IiXv3U9OxSSnjptJXVO5s1xkWcGdGigt9GrE1x7153F2EnTXfjQ4&#10;zg9fxckUetfYnNRByvu7pXkBFnGJf2H4xU/oUCem1s9kArMS8uc8oUcJm/UWWApsxSYH1koQT0IA&#10;ryv+/0L9AwAA//8DAFBLAQItABQABgAIAAAAIQC2gziS/gAAAOEBAAATAAAAAAAAAAAAAAAAAAAA&#10;AABbQ29udGVudF9UeXBlc10ueG1sUEsBAi0AFAAGAAgAAAAhADj9If/WAAAAlAEAAAsAAAAAAAAA&#10;AAAAAAAALwEAAF9yZWxzLy5yZWxzUEsBAi0AFAAGAAgAAAAhACS2VWmsAgAAcwUAAA4AAAAAAAAA&#10;AAAAAAAALgIAAGRycy9lMm9Eb2MueG1sUEsBAi0AFAAGAAgAAAAhAGkXGo/dAAAACgEAAA8AAAAA&#10;AAAAAAAAAAAABgUAAGRycy9kb3ducmV2LnhtbFBLBQYAAAAABAAEAPMAAAAQBgAAAAA=&#10;" adj="2898,-7336" fillcolor="#4f81bd" strokecolor="#385d8a" strokeweight="2pt">
                <v:textbox>
                  <w:txbxContent>
                    <w:p w:rsidR="00026205" w:rsidRDefault="00026205" w:rsidP="00026205">
                      <w:pPr>
                        <w:jc w:val="center"/>
                      </w:pPr>
                      <w:r>
                        <w:t>Načelo lojalne suradnje</w:t>
                      </w:r>
                    </w:p>
                  </w:txbxContent>
                </v:textbox>
              </v:shape>
            </w:pict>
          </mc:Fallback>
        </mc:AlternateContent>
      </w:r>
    </w:p>
    <w:p w:rsidR="00026205" w:rsidRDefault="00026205" w:rsidP="00026205">
      <w:r>
        <w:br w:type="page"/>
      </w:r>
    </w:p>
    <w:p w:rsidR="00026205" w:rsidRDefault="00026205" w:rsidP="00026205">
      <w:pPr>
        <w:spacing w:line="360" w:lineRule="auto"/>
      </w:pPr>
    </w:p>
    <w:p w:rsidR="00026205" w:rsidRPr="007E28A9" w:rsidRDefault="00026205" w:rsidP="00026205">
      <w:pPr>
        <w:rPr>
          <w:sz w:val="24"/>
          <w:szCs w:val="24"/>
        </w:rPr>
      </w:pPr>
      <w:r w:rsidRPr="007E28A9">
        <w:rPr>
          <w:b/>
          <w:sz w:val="24"/>
          <w:szCs w:val="24"/>
        </w:rPr>
        <w:t xml:space="preserve">Članak 18. UFEU </w:t>
      </w:r>
      <w:r w:rsidRPr="007E28A9">
        <w:rPr>
          <w:b/>
          <w:sz w:val="24"/>
          <w:szCs w:val="24"/>
        </w:rPr>
        <w:t>(bivši članak 12. UEZ-a</w:t>
      </w:r>
      <w:r w:rsidRPr="007E28A9">
        <w:rPr>
          <w:b/>
          <w:sz w:val="24"/>
          <w:szCs w:val="24"/>
        </w:rPr>
        <w:t>)</w:t>
      </w:r>
    </w:p>
    <w:p w:rsidR="00026205" w:rsidRDefault="00026205" w:rsidP="00026205">
      <w:pPr>
        <w:spacing w:line="360" w:lineRule="auto"/>
      </w:pPr>
      <w:r>
        <w:t xml:space="preserve">Unutar područja primjene </w:t>
      </w:r>
      <w:r>
        <w:t>Ugovora</w:t>
      </w:r>
      <w:r>
        <w:t xml:space="preserve"> i ne dovodeći u pi</w:t>
      </w:r>
      <w:r>
        <w:t xml:space="preserve">tanje bilo koju njegovu posebnu </w:t>
      </w:r>
      <w:r>
        <w:t>odredbu, zabranjena je svaka diskriminacija na temelju državljan</w:t>
      </w:r>
      <w:bookmarkStart w:id="0" w:name="_GoBack"/>
      <w:bookmarkEnd w:id="0"/>
      <w:r>
        <w:t>stva.</w:t>
      </w:r>
    </w:p>
    <w:p w:rsidR="00026205" w:rsidRDefault="00026205" w:rsidP="00026205">
      <w:pPr>
        <w:spacing w:line="360" w:lineRule="auto"/>
      </w:pPr>
      <w:r>
        <w:t>Europski parlament i Vijeće, odlučujući u skladu s r</w:t>
      </w:r>
      <w:r>
        <w:t xml:space="preserve">edovnim zakonodavnim postupkom, </w:t>
      </w:r>
      <w:r>
        <w:t>može donijeti pravila za zabranu takve diskriminacije.</w:t>
      </w:r>
    </w:p>
    <w:sectPr w:rsidR="000262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62" w:rsidRDefault="00EE4662" w:rsidP="007E28A9">
      <w:pPr>
        <w:spacing w:after="0" w:line="240" w:lineRule="auto"/>
      </w:pPr>
      <w:r>
        <w:separator/>
      </w:r>
    </w:p>
  </w:endnote>
  <w:endnote w:type="continuationSeparator" w:id="0">
    <w:p w:rsidR="00EE4662" w:rsidRDefault="00EE4662" w:rsidP="007E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819583"/>
      <w:docPartObj>
        <w:docPartGallery w:val="Page Numbers (Bottom of Page)"/>
        <w:docPartUnique/>
      </w:docPartObj>
    </w:sdtPr>
    <w:sdtContent>
      <w:p w:rsidR="007E28A9" w:rsidRDefault="007E28A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E28A9" w:rsidRDefault="007E2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62" w:rsidRDefault="00EE4662" w:rsidP="007E28A9">
      <w:pPr>
        <w:spacing w:after="0" w:line="240" w:lineRule="auto"/>
      </w:pPr>
      <w:r>
        <w:separator/>
      </w:r>
    </w:p>
  </w:footnote>
  <w:footnote w:type="continuationSeparator" w:id="0">
    <w:p w:rsidR="00EE4662" w:rsidRDefault="00EE4662" w:rsidP="007E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A9" w:rsidRDefault="007E28A9" w:rsidP="007E28A9">
    <w:pPr>
      <w:pStyle w:val="Header"/>
      <w:jc w:val="center"/>
    </w:pPr>
    <w:r>
      <w:t>Materijali za predavanje</w:t>
    </w:r>
  </w:p>
  <w:p w:rsidR="007E28A9" w:rsidRDefault="007E28A9">
    <w:pPr>
      <w:pStyle w:val="Header"/>
    </w:pPr>
    <w:r>
      <w:t xml:space="preserve">TEMA : Opća načela prava </w:t>
    </w:r>
  </w:p>
  <w:p w:rsidR="007E28A9" w:rsidRDefault="007E28A9">
    <w:pPr>
      <w:pStyle w:val="Header"/>
    </w:pPr>
    <w:r>
      <w:t xml:space="preserve">IZVOR : Lisabonski ugovor </w:t>
    </w:r>
  </w:p>
  <w:p w:rsidR="007E28A9" w:rsidRDefault="007E28A9">
    <w:pPr>
      <w:pStyle w:val="Header"/>
    </w:pPr>
    <w:r>
      <w:t xml:space="preserve">PRIPREMA: Dunja Duić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A3AAF"/>
    <w:multiLevelType w:val="hybridMultilevel"/>
    <w:tmpl w:val="9D74D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C22E5"/>
    <w:multiLevelType w:val="hybridMultilevel"/>
    <w:tmpl w:val="97228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FA"/>
    <w:rsid w:val="00026205"/>
    <w:rsid w:val="007E28A9"/>
    <w:rsid w:val="009524FA"/>
    <w:rsid w:val="00BC268A"/>
    <w:rsid w:val="00EE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8A9"/>
  </w:style>
  <w:style w:type="paragraph" w:styleId="Footer">
    <w:name w:val="footer"/>
    <w:basedOn w:val="Normal"/>
    <w:link w:val="FooterChar"/>
    <w:uiPriority w:val="99"/>
    <w:unhideWhenUsed/>
    <w:rsid w:val="007E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8A9"/>
  </w:style>
  <w:style w:type="paragraph" w:styleId="Footer">
    <w:name w:val="footer"/>
    <w:basedOn w:val="Normal"/>
    <w:link w:val="FooterChar"/>
    <w:uiPriority w:val="99"/>
    <w:unhideWhenUsed/>
    <w:rsid w:val="007E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63E5-5BFA-408A-A3D3-B179A7A1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duic</dc:creator>
  <cp:lastModifiedBy>duic</cp:lastModifiedBy>
  <cp:revision>1</cp:revision>
  <cp:lastPrinted>2013-11-04T11:48:00Z</cp:lastPrinted>
  <dcterms:created xsi:type="dcterms:W3CDTF">2013-11-04T11:17:00Z</dcterms:created>
  <dcterms:modified xsi:type="dcterms:W3CDTF">2013-11-04T11:51:00Z</dcterms:modified>
</cp:coreProperties>
</file>