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Glosatori 11. - 13. st.</w:t>
      </w:r>
    </w:p>
    <w:p w:rsidR="00BE79F7" w:rsidRDefault="00BE79F7" w:rsidP="00BE79F7">
      <w:pPr>
        <w:suppressAutoHyphens/>
        <w:spacing w:line="360" w:lineRule="auto"/>
        <w:jc w:val="both"/>
        <w:rPr>
          <w:rFonts w:ascii="Times New Roman" w:hAnsi="Times New Roman"/>
          <w:spacing w:val="-3"/>
          <w:sz w:val="28"/>
          <w:lang w:val="sv-SE"/>
        </w:rPr>
      </w:pP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U 10. stoljeću Zapadna Europa ulazi u razdoblje gospodarskog, demografskog i kulturnog napretka. Upotreba naprednih načina u poljoprivredi dovodi do demografskog porasta i odvajanja obrtnika kao posebnog sloja. Shodno tome javljaju se gradska naselja gdje se na sajmovima prodaju proizvodi obrtnika. Gradska naselja postaju naročito privlačna pljačkašima, pa se stoga utvrđuju; takva naselja se nazivaju </w:t>
      </w:r>
      <w:r>
        <w:rPr>
          <w:rFonts w:ascii="Times New Roman" w:hAnsi="Times New Roman"/>
          <w:b/>
          <w:i/>
          <w:spacing w:val="-3"/>
          <w:sz w:val="28"/>
          <w:lang w:val="sv-SE"/>
        </w:rPr>
        <w:t>burgus</w:t>
      </w:r>
      <w:r>
        <w:rPr>
          <w:rFonts w:ascii="Times New Roman" w:hAnsi="Times New Roman"/>
          <w:spacing w:val="-3"/>
          <w:sz w:val="28"/>
          <w:lang w:val="sv-SE"/>
        </w:rPr>
        <w:t xml:space="preserve"> - grad, a njegovo stanovništvo, kao suprotnost negradskom stanovništvu, građani (buržoazija). To su uglavnom slobodni ljudi koji se bave ponajviše obrtom i trgovinom.</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Propašću rimskog carstva (476. g.) u Europi je prekinuta antička tradicija gradske kulture. Do 12. stoljeća znanost se njegovala i održavala gotovo isključivo u samostanima. Pojavom obrta, trgovine i gradova kultura, učenost i vjera premještaju se u grad. U to vrijeme se naglo počinje razvijati i trgovina, pa se na brojnim sajmovima razmjenjuje roba iz vrlo udaljenih područja. Sve to je dovelo do učvršćivanja privatnog vlasništva te potrebe da se posegne za nekim pravnim institutima iz prošlosti koji bi ga zaštitili.</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Da bi sudionici u tom pravnom prometu pravno uobličili svoje odnose, te uveli sigurnost u svoje međusobne obveze posežu za rimskim pravom i to u njegovom sređenom i nakon tisućljetnog razvoja uobličenom stanju: Justinijanovoj kodifikaciji. Treba napomenuti da nikakva državna naredba nije silila na primjenu rimskog prava; nego to pravo prihvaća praksa (recipira ga).</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Već u 11. st. u sjevernoj Italiji je potreba za pravnim stručnjacima tolika da </w:t>
      </w:r>
      <w:r>
        <w:rPr>
          <w:rFonts w:ascii="Times New Roman" w:hAnsi="Times New Roman"/>
          <w:b/>
          <w:i/>
          <w:spacing w:val="-3"/>
          <w:sz w:val="28"/>
          <w:lang w:val="sv-SE"/>
        </w:rPr>
        <w:t>Irnerius</w:t>
      </w:r>
      <w:r>
        <w:rPr>
          <w:rFonts w:ascii="Times New Roman" w:hAnsi="Times New Roman"/>
          <w:spacing w:val="-3"/>
          <w:sz w:val="28"/>
          <w:lang w:val="sv-SE"/>
        </w:rPr>
        <w:t xml:space="preserve"> u Bologni početkom 12. st. osniva pravnu školu u kojoj poučava rimsko pravo. Irnerius je živio otprilike između 1055. i 1130. g., stalno je obitavao u Bologni gdje je vršio sudačku funkciju. Oko godine 1090. počeo je proučavati rimsko pravo, te objašnjavati Justinijanov Corpus. Kasnije je zbog svojega velikog ugleda i značenja u proučavanju prava nazvan </w:t>
      </w:r>
      <w:r>
        <w:rPr>
          <w:rFonts w:ascii="Times New Roman" w:hAnsi="Times New Roman"/>
          <w:i/>
          <w:spacing w:val="-3"/>
          <w:sz w:val="28"/>
          <w:lang w:val="sv-SE"/>
        </w:rPr>
        <w:t>laterna iuris</w:t>
      </w:r>
      <w:r>
        <w:rPr>
          <w:rFonts w:ascii="Times New Roman" w:hAnsi="Times New Roman"/>
          <w:spacing w:val="-3"/>
          <w:sz w:val="28"/>
          <w:lang w:val="sv-SE"/>
        </w:rPr>
        <w:t xml:space="preserve"> - svjetionik prava.</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lastRenderedPageBreak/>
        <w:tab/>
        <w:t xml:space="preserve">Irnerius i njegovi učenici proučavaju Corpus iuris civilis tako što između redaka ili na rubu teksta pišu tumačenje riječi i sadržaja; ta bilješka zvala se </w:t>
      </w:r>
      <w:r>
        <w:rPr>
          <w:rFonts w:ascii="Times New Roman" w:hAnsi="Times New Roman"/>
          <w:b/>
          <w:i/>
          <w:spacing w:val="-3"/>
          <w:sz w:val="28"/>
          <w:lang w:val="sv-SE"/>
        </w:rPr>
        <w:t>glossa</w:t>
      </w:r>
      <w:r>
        <w:rPr>
          <w:rFonts w:ascii="Times New Roman" w:hAnsi="Times New Roman"/>
          <w:spacing w:val="-3"/>
          <w:sz w:val="28"/>
          <w:lang w:val="sv-SE"/>
        </w:rPr>
        <w:t xml:space="preserve"> pa se i ta pravna škola naziva </w:t>
      </w:r>
      <w:r>
        <w:rPr>
          <w:rFonts w:ascii="Times New Roman" w:hAnsi="Times New Roman"/>
          <w:b/>
          <w:i/>
          <w:spacing w:val="-3"/>
          <w:sz w:val="28"/>
          <w:lang w:val="sv-SE"/>
        </w:rPr>
        <w:t>glosatorskom</w:t>
      </w:r>
      <w:r>
        <w:rPr>
          <w:rFonts w:ascii="Times New Roman" w:hAnsi="Times New Roman"/>
          <w:spacing w:val="-3"/>
          <w:sz w:val="28"/>
          <w:lang w:val="sv-SE"/>
        </w:rPr>
        <w:t xml:space="preserve">. Glose su se pisale između redova zakonskog teksta i tada se se zvale </w:t>
      </w:r>
      <w:r>
        <w:rPr>
          <w:rFonts w:ascii="Times New Roman" w:hAnsi="Times New Roman"/>
          <w:i/>
          <w:spacing w:val="-3"/>
          <w:sz w:val="28"/>
          <w:lang w:val="sv-SE"/>
        </w:rPr>
        <w:t>glossa interlinearis</w:t>
      </w:r>
      <w:r>
        <w:rPr>
          <w:rFonts w:ascii="Times New Roman" w:hAnsi="Times New Roman"/>
          <w:spacing w:val="-3"/>
          <w:sz w:val="28"/>
          <w:lang w:val="sv-SE"/>
        </w:rPr>
        <w:t xml:space="preserve"> ili uz rub zakonskog teksta </w:t>
      </w:r>
      <w:r>
        <w:rPr>
          <w:rFonts w:ascii="Times New Roman" w:hAnsi="Times New Roman"/>
          <w:i/>
          <w:spacing w:val="-3"/>
          <w:sz w:val="28"/>
          <w:lang w:val="sv-SE"/>
        </w:rPr>
        <w:t>glossa marginalis</w:t>
      </w:r>
      <w:r>
        <w:rPr>
          <w:rFonts w:ascii="Times New Roman" w:hAnsi="Times New Roman"/>
          <w:spacing w:val="-3"/>
          <w:sz w:val="28"/>
          <w:lang w:val="sv-SE"/>
        </w:rPr>
        <w:t>.</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Glosatori su proučavali samo one dijelove Kodifikacije koji su im trebali u praksi, a to je ponajviše područje obveznog prava, zato se može se reći da su glosatori rimsko pravo proučavali </w:t>
      </w:r>
      <w:r>
        <w:rPr>
          <w:rFonts w:ascii="Times New Roman" w:hAnsi="Times New Roman"/>
          <w:b/>
          <w:spacing w:val="-3"/>
          <w:sz w:val="28"/>
          <w:lang w:val="sv-SE"/>
        </w:rPr>
        <w:t>pragmatično</w:t>
      </w:r>
      <w:r>
        <w:rPr>
          <w:rFonts w:ascii="Times New Roman" w:hAnsi="Times New Roman"/>
          <w:spacing w:val="-3"/>
          <w:sz w:val="28"/>
          <w:lang w:val="sv-SE"/>
        </w:rPr>
        <w:t xml:space="preserve"> (radi uspješnog zadovoljenja potreba prakse), </w:t>
      </w:r>
      <w:r>
        <w:rPr>
          <w:rFonts w:ascii="Times New Roman" w:hAnsi="Times New Roman"/>
          <w:b/>
          <w:spacing w:val="-3"/>
          <w:sz w:val="28"/>
          <w:lang w:val="sv-SE"/>
        </w:rPr>
        <w:t>kazuistički</w:t>
      </w:r>
      <w:r>
        <w:rPr>
          <w:rFonts w:ascii="Times New Roman" w:hAnsi="Times New Roman"/>
          <w:spacing w:val="-3"/>
          <w:sz w:val="28"/>
          <w:lang w:val="sv-SE"/>
        </w:rPr>
        <w:t xml:space="preserve"> (izučavanjem niza pojedinih slučajeva), </w:t>
      </w:r>
      <w:r>
        <w:rPr>
          <w:rFonts w:ascii="Times New Roman" w:hAnsi="Times New Roman"/>
          <w:b/>
          <w:spacing w:val="-3"/>
          <w:sz w:val="28"/>
          <w:lang w:val="sv-SE"/>
        </w:rPr>
        <w:t>fragmentarno</w:t>
      </w:r>
      <w:r>
        <w:rPr>
          <w:rFonts w:ascii="Times New Roman" w:hAnsi="Times New Roman"/>
          <w:spacing w:val="-3"/>
          <w:sz w:val="28"/>
          <w:lang w:val="sv-SE"/>
        </w:rPr>
        <w:t xml:space="preserve"> (proučavaju one dijelove Corpusa koji im trebaju u praksi), </w:t>
      </w:r>
      <w:r>
        <w:rPr>
          <w:rFonts w:ascii="Times New Roman" w:hAnsi="Times New Roman"/>
          <w:b/>
          <w:spacing w:val="-3"/>
          <w:sz w:val="28"/>
          <w:lang w:val="sv-SE"/>
        </w:rPr>
        <w:t>antipovijesno</w:t>
      </w:r>
      <w:r>
        <w:rPr>
          <w:rFonts w:ascii="Times New Roman" w:hAnsi="Times New Roman"/>
          <w:spacing w:val="-3"/>
          <w:sz w:val="28"/>
          <w:lang w:val="sv-SE"/>
        </w:rPr>
        <w:t xml:space="preserve"> (Corpus ne dovode u vezu s prilikama vremena u kom je nastao, i njih ne zanimaju promjene i razvoj rimskog prava) i </w:t>
      </w:r>
      <w:r>
        <w:rPr>
          <w:rFonts w:ascii="Times New Roman" w:hAnsi="Times New Roman"/>
          <w:b/>
          <w:spacing w:val="-3"/>
          <w:sz w:val="28"/>
          <w:lang w:val="sv-SE"/>
        </w:rPr>
        <w:t>dogmatski</w:t>
      </w:r>
      <w:r>
        <w:rPr>
          <w:rFonts w:ascii="Times New Roman" w:hAnsi="Times New Roman"/>
          <w:spacing w:val="-3"/>
          <w:sz w:val="28"/>
          <w:lang w:val="sv-SE"/>
        </w:rPr>
        <w:t xml:space="preserve"> (primjenu Corpusa glosatorima ne nalaže nikakva vlast, ali ga oni tumače, kao nepromjenjivi autoritativni sud, bez imalo kritičkog pristupa).</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Nakon škole u Bologni osnivaju se slične pravne škole u drugim gradovima sjeverne Italije (Pavia, Padova), a uz </w:t>
      </w:r>
      <w:r>
        <w:rPr>
          <w:rFonts w:ascii="Times New Roman" w:hAnsi="Times New Roman"/>
          <w:b/>
          <w:i/>
          <w:spacing w:val="-3"/>
          <w:sz w:val="28"/>
          <w:lang w:val="sv-SE"/>
        </w:rPr>
        <w:t>Irneriusa</w:t>
      </w:r>
      <w:r>
        <w:rPr>
          <w:rFonts w:ascii="Times New Roman" w:hAnsi="Times New Roman"/>
          <w:spacing w:val="-3"/>
          <w:sz w:val="28"/>
          <w:lang w:val="sv-SE"/>
        </w:rPr>
        <w:t xml:space="preserve"> postaju opće poznati njegovi bolonjski učenici </w:t>
      </w:r>
      <w:r>
        <w:rPr>
          <w:rFonts w:ascii="Times New Roman" w:hAnsi="Times New Roman"/>
          <w:b/>
          <w:i/>
          <w:spacing w:val="-3"/>
          <w:sz w:val="28"/>
          <w:lang w:val="sv-SE"/>
        </w:rPr>
        <w:t>Martinus, Bulgarus, Iacobus i</w:t>
      </w:r>
      <w:r>
        <w:rPr>
          <w:rFonts w:ascii="Times New Roman" w:hAnsi="Times New Roman"/>
          <w:spacing w:val="-3"/>
          <w:sz w:val="28"/>
          <w:lang w:val="sv-SE"/>
        </w:rPr>
        <w:t xml:space="preserve">  </w:t>
      </w:r>
      <w:r>
        <w:rPr>
          <w:rFonts w:ascii="Times New Roman" w:hAnsi="Times New Roman"/>
          <w:b/>
          <w:i/>
          <w:spacing w:val="-3"/>
          <w:sz w:val="28"/>
          <w:lang w:val="sv-SE"/>
        </w:rPr>
        <w:t>Hugo</w:t>
      </w:r>
      <w:r>
        <w:rPr>
          <w:rFonts w:ascii="Times New Roman" w:hAnsi="Times New Roman"/>
          <w:spacing w:val="-3"/>
          <w:sz w:val="28"/>
          <w:lang w:val="sv-SE"/>
        </w:rPr>
        <w:t xml:space="preserve"> kasnije nazvani </w:t>
      </w:r>
      <w:r>
        <w:rPr>
          <w:rFonts w:ascii="Times New Roman" w:hAnsi="Times New Roman"/>
          <w:i/>
          <w:spacing w:val="-3"/>
          <w:sz w:val="28"/>
          <w:lang w:val="sv-SE"/>
        </w:rPr>
        <w:t xml:space="preserve">quattuor doctores, </w:t>
      </w:r>
      <w:r>
        <w:rPr>
          <w:rFonts w:ascii="Times New Roman" w:hAnsi="Times New Roman"/>
          <w:spacing w:val="-3"/>
          <w:sz w:val="28"/>
          <w:lang w:val="sv-SE"/>
        </w:rPr>
        <w:t xml:space="preserve"> te kasnije </w:t>
      </w:r>
      <w:r>
        <w:rPr>
          <w:rFonts w:ascii="Times New Roman" w:hAnsi="Times New Roman"/>
          <w:b/>
          <w:i/>
          <w:spacing w:val="-3"/>
          <w:sz w:val="28"/>
          <w:lang w:val="sv-SE"/>
        </w:rPr>
        <w:t>Azo</w:t>
      </w:r>
      <w:r>
        <w:rPr>
          <w:rFonts w:ascii="Times New Roman" w:hAnsi="Times New Roman"/>
          <w:spacing w:val="-3"/>
          <w:sz w:val="28"/>
          <w:lang w:val="sv-SE"/>
        </w:rPr>
        <w:t xml:space="preserve">, i sredinom 13. st. </w:t>
      </w:r>
      <w:r>
        <w:rPr>
          <w:rFonts w:ascii="Times New Roman" w:hAnsi="Times New Roman"/>
          <w:b/>
          <w:i/>
          <w:spacing w:val="-3"/>
          <w:sz w:val="28"/>
          <w:lang w:val="sv-SE"/>
        </w:rPr>
        <w:t>Accursius</w:t>
      </w:r>
      <w:r>
        <w:rPr>
          <w:rFonts w:ascii="Times New Roman" w:hAnsi="Times New Roman"/>
          <w:spacing w:val="-3"/>
          <w:sz w:val="28"/>
          <w:lang w:val="sv-SE"/>
        </w:rPr>
        <w:t xml:space="preserve">. Kako je najznačajnija djelatnost glosatora zabilježena upravo u Italiji način proučavanja ove pravne škole naziva se </w:t>
      </w:r>
      <w:r>
        <w:rPr>
          <w:rFonts w:ascii="Times New Roman" w:hAnsi="Times New Roman"/>
          <w:b/>
          <w:i/>
          <w:spacing w:val="-3"/>
          <w:sz w:val="28"/>
          <w:lang w:val="sv-SE"/>
        </w:rPr>
        <w:t>mos docendi italicus</w:t>
      </w:r>
      <w:r>
        <w:rPr>
          <w:rFonts w:ascii="Times New Roman" w:hAnsi="Times New Roman"/>
          <w:i/>
          <w:spacing w:val="-3"/>
          <w:sz w:val="28"/>
          <w:lang w:val="sv-SE"/>
        </w:rPr>
        <w:t>.</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Kako su se glose pojedinih glosatora razlikovale u primjeni je dolazilo do poteškoća.</w:t>
      </w:r>
      <w:r>
        <w:rPr>
          <w:rFonts w:ascii="Times New Roman" w:hAnsi="Times New Roman"/>
          <w:spacing w:val="-3"/>
          <w:sz w:val="28"/>
          <w:lang w:val="sv-SE"/>
        </w:rPr>
        <w:tab/>
        <w:t xml:space="preserve">Da bi otklonio razlike u tumačenju, bolonjski učitelj </w:t>
      </w:r>
      <w:r>
        <w:rPr>
          <w:rFonts w:ascii="Times New Roman" w:hAnsi="Times New Roman"/>
          <w:b/>
          <w:i/>
          <w:spacing w:val="-3"/>
          <w:sz w:val="28"/>
          <w:lang w:val="sv-SE"/>
        </w:rPr>
        <w:t>Franciscus Accursius</w:t>
      </w:r>
      <w:r>
        <w:rPr>
          <w:rFonts w:ascii="Times New Roman" w:hAnsi="Times New Roman"/>
          <w:spacing w:val="-3"/>
          <w:sz w:val="28"/>
          <w:lang w:val="sv-SE"/>
        </w:rPr>
        <w:t xml:space="preserve"> (1185. - 1263. godine) je sredinom 13. st. napisao "</w:t>
      </w:r>
      <w:r>
        <w:rPr>
          <w:rFonts w:ascii="Times New Roman" w:hAnsi="Times New Roman"/>
          <w:b/>
          <w:i/>
          <w:spacing w:val="-3"/>
          <w:sz w:val="28"/>
          <w:lang w:val="sv-SE"/>
        </w:rPr>
        <w:t>Glossa magistralis seu ordinaria</w:t>
      </w:r>
      <w:r>
        <w:rPr>
          <w:rFonts w:ascii="Times New Roman" w:hAnsi="Times New Roman"/>
          <w:spacing w:val="-3"/>
          <w:sz w:val="28"/>
          <w:lang w:val="sv-SE"/>
        </w:rPr>
        <w:t>" gdje je sredio glose najpoznatijih glosatora i to tako da je ove poredao ispod odredbe rimskog prava na koju se odnose. Time otpočinje škola postglosatora.</w:t>
      </w:r>
    </w:p>
    <w:p w:rsidR="00BE79F7" w:rsidRDefault="00BE79F7" w:rsidP="00BE79F7">
      <w:pPr>
        <w:suppressAutoHyphens/>
        <w:spacing w:line="360" w:lineRule="auto"/>
        <w:jc w:val="both"/>
        <w:rPr>
          <w:rFonts w:ascii="Times New Roman" w:hAnsi="Times New Roman"/>
          <w:spacing w:val="-3"/>
          <w:sz w:val="28"/>
          <w:lang w:val="sv-SE"/>
        </w:rPr>
      </w:pP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ab/>
        <w:t>4. Postglosatori (Komentatori), 13. - 16. st.</w:t>
      </w:r>
    </w:p>
    <w:p w:rsidR="00BE79F7" w:rsidRDefault="00BE79F7" w:rsidP="00BE79F7">
      <w:pPr>
        <w:suppressAutoHyphens/>
        <w:spacing w:line="360" w:lineRule="auto"/>
        <w:jc w:val="both"/>
        <w:rPr>
          <w:rFonts w:ascii="Times New Roman" w:hAnsi="Times New Roman"/>
          <w:spacing w:val="-3"/>
          <w:sz w:val="28"/>
          <w:lang w:val="sv-SE"/>
        </w:rPr>
      </w:pP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lastRenderedPageBreak/>
        <w:tab/>
        <w:t>Dok su glosatori proučavali rimsko pravo neposredno iz Corpusa, dotle se postglosatori bave rimskim pravom u tumačenju glosatora. Kako su glose glosatora narasle do opsežnih objašnjenja, njih kasnije prepisuju samostalno, odijeljeno od teksta na koji se odnose.</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Od 13. st. glosatori postaju komentatori glosa svojih prethodnika, nastojeći da otklone razlike u tumačenjima koje su postojale među pojedinim glosatorima. Njihov cilj je bio da utvrde "zajedničko mišljenje učitelja".</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Porastom broja gradova, trgovačkog i pravnog prometa raste potreba za školovanim pravnicima. Njih trebaju privatne osobe u gradovima, gradska uprava, vladari i feudalci, pa se broj pravnih škola povećava. Započinje duboko prodiranje rimskog pravnog nasljeđa u zapadnu civilizaciju.</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U pogledu metode postglosatori ne donose ništa novoga; skolastička kazuistička dijalektika (</w:t>
      </w:r>
      <w:r>
        <w:rPr>
          <w:rFonts w:ascii="Times New Roman" w:hAnsi="Times New Roman"/>
          <w:b/>
          <w:i/>
          <w:spacing w:val="-3"/>
          <w:sz w:val="28"/>
          <w:lang w:val="sv-SE"/>
        </w:rPr>
        <w:t>lectio, quaestio, disputatio</w:t>
      </w:r>
      <w:r>
        <w:rPr>
          <w:rFonts w:ascii="Times New Roman" w:hAnsi="Times New Roman"/>
          <w:spacing w:val="-3"/>
          <w:sz w:val="28"/>
          <w:lang w:val="sv-SE"/>
        </w:rPr>
        <w:t xml:space="preserve"> te</w:t>
      </w:r>
      <w:r>
        <w:rPr>
          <w:rFonts w:ascii="Times New Roman" w:hAnsi="Times New Roman"/>
          <w:b/>
          <w:i/>
          <w:spacing w:val="-3"/>
          <w:sz w:val="28"/>
          <w:lang w:val="sv-SE"/>
        </w:rPr>
        <w:t xml:space="preserve"> conclusio)</w:t>
      </w:r>
      <w:r>
        <w:rPr>
          <w:rFonts w:ascii="Times New Roman" w:hAnsi="Times New Roman"/>
          <w:spacing w:val="-3"/>
          <w:sz w:val="28"/>
          <w:lang w:val="sv-SE"/>
        </w:rPr>
        <w:t xml:space="preserve"> toliko je razvila tehnički aspekt misaonog postupka da je on potamnio sadržaj mišljenja.</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Poznati postglosatori su </w:t>
      </w:r>
      <w:r>
        <w:rPr>
          <w:rFonts w:ascii="Times New Roman" w:hAnsi="Times New Roman"/>
          <w:b/>
          <w:i/>
          <w:spacing w:val="-3"/>
          <w:sz w:val="28"/>
          <w:lang w:val="sv-SE"/>
        </w:rPr>
        <w:t>Cinus de Pistoia</w:t>
      </w:r>
      <w:r>
        <w:rPr>
          <w:rFonts w:ascii="Times New Roman" w:hAnsi="Times New Roman"/>
          <w:spacing w:val="-3"/>
          <w:sz w:val="28"/>
          <w:lang w:val="sv-SE"/>
        </w:rPr>
        <w:t xml:space="preserve"> (1270. - 1336. g.), </w:t>
      </w:r>
      <w:r>
        <w:rPr>
          <w:rFonts w:ascii="Times New Roman" w:hAnsi="Times New Roman"/>
          <w:b/>
          <w:i/>
          <w:spacing w:val="-3"/>
          <w:sz w:val="28"/>
          <w:lang w:val="sv-SE"/>
        </w:rPr>
        <w:t>Bartolus de Sassoferrato</w:t>
      </w:r>
      <w:r>
        <w:rPr>
          <w:rFonts w:ascii="Times New Roman" w:hAnsi="Times New Roman"/>
          <w:spacing w:val="-3"/>
          <w:sz w:val="28"/>
          <w:lang w:val="sv-SE"/>
        </w:rPr>
        <w:t xml:space="preserve"> (1314. - 1357. g.) i </w:t>
      </w:r>
      <w:r>
        <w:rPr>
          <w:rFonts w:ascii="Times New Roman" w:hAnsi="Times New Roman"/>
          <w:b/>
          <w:i/>
          <w:spacing w:val="-3"/>
          <w:sz w:val="28"/>
          <w:lang w:val="sv-SE"/>
        </w:rPr>
        <w:t>Baldus de Ubaldis</w:t>
      </w:r>
      <w:r>
        <w:rPr>
          <w:rFonts w:ascii="Times New Roman" w:hAnsi="Times New Roman"/>
          <w:spacing w:val="-3"/>
          <w:sz w:val="28"/>
          <w:lang w:val="sv-SE"/>
        </w:rPr>
        <w:t xml:space="preserve"> (1327. - 1406. g.). Najznačajniji od njih je Bartolus koji je nastojao ukloniti razlike u rimskom pravu recipiranom od strane pojedinih gradova. Ugled Bartolusa je bio tako velik da je nakon njegove smrti nastala izreka da nitko ne može biti pravnik ako ne poznaje njegovo djelo </w:t>
      </w:r>
      <w:r>
        <w:rPr>
          <w:rFonts w:ascii="Times New Roman" w:hAnsi="Times New Roman"/>
          <w:i/>
          <w:spacing w:val="-3"/>
          <w:sz w:val="28"/>
          <w:lang w:val="sv-SE"/>
        </w:rPr>
        <w:t>Nemo iurista, nisi Bartolista.</w:t>
      </w:r>
    </w:p>
    <w:p w:rsidR="00BE79F7" w:rsidRDefault="00BE79F7" w:rsidP="00BE79F7">
      <w:pPr>
        <w:suppressAutoHyphens/>
        <w:spacing w:line="360" w:lineRule="auto"/>
        <w:jc w:val="both"/>
        <w:rPr>
          <w:rFonts w:ascii="Times New Roman" w:hAnsi="Times New Roman"/>
          <w:spacing w:val="-3"/>
          <w:sz w:val="28"/>
          <w:lang w:val="sv-SE"/>
        </w:rPr>
      </w:pPr>
    </w:p>
    <w:p w:rsidR="00BE79F7" w:rsidRDefault="00BE79F7" w:rsidP="00BE79F7">
      <w:pPr>
        <w:suppressAutoHyphens/>
        <w:spacing w:line="360" w:lineRule="auto"/>
        <w:jc w:val="both"/>
        <w:rPr>
          <w:rFonts w:ascii="Times New Roman" w:hAnsi="Times New Roman"/>
          <w:b/>
          <w:spacing w:val="-3"/>
          <w:sz w:val="28"/>
          <w:lang w:val="sv-SE"/>
        </w:rPr>
      </w:pPr>
      <w:r>
        <w:rPr>
          <w:rFonts w:ascii="Times New Roman" w:hAnsi="Times New Roman"/>
          <w:b/>
          <w:spacing w:val="-3"/>
          <w:sz w:val="28"/>
          <w:lang w:val="sv-SE"/>
        </w:rPr>
        <w:tab/>
        <w:t xml:space="preserve">5. Elegantna pravna škola (Francuska historijska škola), </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ab/>
      </w:r>
      <w:r>
        <w:rPr>
          <w:rFonts w:ascii="Times New Roman" w:hAnsi="Times New Roman"/>
          <w:b/>
          <w:spacing w:val="-3"/>
          <w:sz w:val="28"/>
          <w:lang w:val="sv-SE"/>
        </w:rPr>
        <w:tab/>
        <w:t>16. - 17. st.</w:t>
      </w:r>
    </w:p>
    <w:p w:rsidR="00BE79F7" w:rsidRDefault="00BE79F7" w:rsidP="00BE79F7">
      <w:pPr>
        <w:suppressAutoHyphens/>
        <w:spacing w:line="360" w:lineRule="auto"/>
        <w:jc w:val="both"/>
        <w:rPr>
          <w:rFonts w:ascii="Times New Roman" w:hAnsi="Times New Roman"/>
          <w:spacing w:val="-3"/>
          <w:sz w:val="28"/>
          <w:lang w:val="sv-SE"/>
        </w:rPr>
      </w:pP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U 16. st. središte proučavanja rimskog prava pomiče se iz Italije prema Zapadnoj Europi (Francuska, Nizozemska i Njemačka). Proučavanje rimskog prava više se ne svodi samo na proučavanje Justinijanove kodifikacije i glosa glosatora, cilj je dokučiti klasično doba i njegova pravna vrela. Na cjelokupnu znanost, pa tako i pravnu velik utjecaj vrši humanizam koji se u to vrijeme počeo širiti Europom.</w:t>
      </w:r>
    </w:p>
    <w:p w:rsidR="00BE79F7" w:rsidRDefault="00BE79F7" w:rsidP="00BE79F7">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lastRenderedPageBreak/>
        <w:tab/>
        <w:t xml:space="preserve">Shodno tome u Francuskoj na Pravnom fakultetu u </w:t>
      </w:r>
      <w:r>
        <w:rPr>
          <w:rFonts w:ascii="Times New Roman" w:hAnsi="Times New Roman"/>
          <w:i/>
          <w:spacing w:val="-3"/>
          <w:sz w:val="28"/>
          <w:lang w:val="sv-SE"/>
        </w:rPr>
        <w:t>Bourgesu</w:t>
      </w:r>
      <w:r>
        <w:rPr>
          <w:rFonts w:ascii="Times New Roman" w:hAnsi="Times New Roman"/>
          <w:spacing w:val="-3"/>
          <w:sz w:val="28"/>
          <w:lang w:val="sv-SE"/>
        </w:rPr>
        <w:t xml:space="preserve"> razvija se Francuska historijska pravna škola ili Elegantna pravna  škola koja proučava promjene pravnih odredaba rimskog prava i uzroke tim promjenama. Po mišljenju najznačajnijih predstavnika ove škole rimsko pravo se posve izgubilo u mnoštvu glosa i postglosa, te ga je trebalo u svoj njegovoj ljepoti i funkcionalnosti staviti na raspolaganje svijetu.  U svom radu pripadnici ove škole počeli su se koristiti i povijesnim i arheološkim podacima, pri čemu su došli do zaključka da Justinijanova kodifikacija nije jedinstvena cjelina, nego proizvod dugotrajnog povijesnog razvitka i djelovanja različitih pravnika, uvjeta i metoda rada.</w:t>
      </w:r>
    </w:p>
    <w:p w:rsidR="000E5868" w:rsidRDefault="00BE79F7" w:rsidP="00BE79F7">
      <w:r>
        <w:rPr>
          <w:rFonts w:ascii="Times New Roman" w:hAnsi="Times New Roman"/>
          <w:spacing w:val="-3"/>
          <w:sz w:val="28"/>
          <w:lang w:val="sv-SE"/>
        </w:rPr>
        <w:tab/>
        <w:t xml:space="preserve">Ova škola se uvelike razvija u Francuskoj, pa se i njena metoda poučavanja prava zove </w:t>
      </w:r>
      <w:r>
        <w:rPr>
          <w:rFonts w:ascii="Times New Roman" w:hAnsi="Times New Roman"/>
          <w:b/>
          <w:i/>
          <w:spacing w:val="-3"/>
          <w:sz w:val="28"/>
          <w:lang w:val="sv-SE"/>
        </w:rPr>
        <w:t>mos docendi Gallicus</w:t>
      </w:r>
      <w:r>
        <w:rPr>
          <w:rFonts w:ascii="Times New Roman" w:hAnsi="Times New Roman"/>
          <w:spacing w:val="-3"/>
          <w:sz w:val="28"/>
          <w:lang w:val="sv-SE"/>
        </w:rPr>
        <w:t xml:space="preserve">. Većina predstavnika ove škole su Francuzi, a najpoznatiji su </w:t>
      </w:r>
      <w:r>
        <w:rPr>
          <w:rFonts w:ascii="Times New Roman" w:hAnsi="Times New Roman"/>
          <w:b/>
          <w:i/>
          <w:spacing w:val="-3"/>
          <w:sz w:val="28"/>
          <w:lang w:val="sv-SE"/>
        </w:rPr>
        <w:t>Cujacius</w:t>
      </w:r>
      <w:r>
        <w:rPr>
          <w:rFonts w:ascii="Times New Roman" w:hAnsi="Times New Roman"/>
          <w:spacing w:val="-3"/>
          <w:sz w:val="28"/>
          <w:lang w:val="sv-SE"/>
        </w:rPr>
        <w:t xml:space="preserve"> (1522. - 1590.), </w:t>
      </w:r>
      <w:r>
        <w:rPr>
          <w:rFonts w:ascii="Times New Roman" w:hAnsi="Times New Roman"/>
          <w:b/>
          <w:i/>
          <w:spacing w:val="-3"/>
          <w:sz w:val="28"/>
          <w:lang w:val="sv-SE"/>
        </w:rPr>
        <w:t>Jacobus</w:t>
      </w:r>
      <w:r>
        <w:rPr>
          <w:rFonts w:ascii="Times New Roman" w:hAnsi="Times New Roman"/>
          <w:spacing w:val="-3"/>
          <w:sz w:val="28"/>
          <w:lang w:val="sv-SE"/>
        </w:rPr>
        <w:t>,</w:t>
      </w:r>
      <w:bookmarkStart w:id="0" w:name="_GoBack"/>
      <w:bookmarkEnd w:id="0"/>
    </w:p>
    <w:sectPr w:rsidR="000E5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F7"/>
    <w:rsid w:val="000E5868"/>
    <w:rsid w:val="00BE79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37550-5C68-4FCC-9152-D373E9AF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9F7"/>
    <w:pPr>
      <w:spacing w:after="0" w:line="240" w:lineRule="auto"/>
    </w:pPr>
    <w:rPr>
      <w:rFonts w:ascii="Courier New" w:eastAsia="Times New Roman" w:hAnsi="Courier New"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gardas</dc:creator>
  <cp:keywords/>
  <dc:description/>
  <cp:lastModifiedBy>gardas</cp:lastModifiedBy>
  <cp:revision>1</cp:revision>
  <dcterms:created xsi:type="dcterms:W3CDTF">2020-03-31T06:31:00Z</dcterms:created>
  <dcterms:modified xsi:type="dcterms:W3CDTF">2020-03-31T06:32:00Z</dcterms:modified>
</cp:coreProperties>
</file>