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000" w:type="dxa"/>
        <w:tblCellSpacing w:w="60" w:type="dxa"/>
        <w:tblInd w:w="130" w:type="dxa"/>
        <w:tblBorders>
          <w:top w:val="nil"/>
          <w:left w:val="nil"/>
          <w:bottom w:val="nil"/>
          <w:right w:val="nil"/>
          <w:insideH w:val="nil"/>
          <w:insideV w:val="nil"/>
        </w:tblBorders>
        <w:shd w:val="clear" w:color="auto" w:fill="E7F0F9"/>
        <w:tblCellMar>
          <w:left w:w="10" w:type="dxa"/>
          <w:right w:w="10" w:type="dxa"/>
        </w:tblCellMar>
        <w:tblLook w:val="0000" w:firstRow="0" w:lastRow="0" w:firstColumn="0" w:lastColumn="0" w:noHBand="0" w:noVBand="0"/>
      </w:tblPr>
      <w:tblGrid>
        <w:gridCol w:w="2254"/>
        <w:gridCol w:w="6746"/>
      </w:tblGrid>
      <w:tr w:rsidR="00367E91" w14:paraId="34C768E3" w14:textId="77777777">
        <w:tblPrEx>
          <w:tblCellMar>
            <w:top w:w="0" w:type="dxa"/>
            <w:bottom w:w="0" w:type="dxa"/>
          </w:tblCellMar>
        </w:tblPrEx>
        <w:trPr>
          <w:tblCellSpacing w:w="60" w:type="dxa"/>
        </w:trPr>
        <w:tc>
          <w:tcPr>
            <w:tcW w:w="1200" w:type="pct"/>
            <w:shd w:val="clear" w:color="auto" w:fill="E7F0F9"/>
          </w:tcPr>
          <w:p w14:paraId="2286E1D7" w14:textId="77777777" w:rsidR="00367E91" w:rsidRDefault="002B0324">
            <w:pPr>
              <w:spacing w:after="0" w:line="240" w:lineRule="auto"/>
            </w:pPr>
            <w:r>
              <w:rPr>
                <w:b/>
              </w:rPr>
              <w:t>RKP broj</w:t>
            </w:r>
          </w:p>
        </w:tc>
        <w:tc>
          <w:tcPr>
            <w:tcW w:w="0" w:type="auto"/>
            <w:shd w:val="clear" w:color="auto" w:fill="E7F0F9"/>
          </w:tcPr>
          <w:p w14:paraId="2B92AB6E" w14:textId="77777777" w:rsidR="00367E91" w:rsidRDefault="002B0324">
            <w:pPr>
              <w:spacing w:after="0" w:line="240" w:lineRule="auto"/>
            </w:pPr>
            <w:r>
              <w:t>2292</w:t>
            </w:r>
          </w:p>
        </w:tc>
      </w:tr>
      <w:tr w:rsidR="00367E91" w14:paraId="05E3DB5E" w14:textId="77777777">
        <w:tblPrEx>
          <w:tblCellMar>
            <w:top w:w="0" w:type="dxa"/>
            <w:bottom w:w="0" w:type="dxa"/>
          </w:tblCellMar>
        </w:tblPrEx>
        <w:trPr>
          <w:tblCellSpacing w:w="60" w:type="dxa"/>
        </w:trPr>
        <w:tc>
          <w:tcPr>
            <w:tcW w:w="1200" w:type="pct"/>
            <w:shd w:val="clear" w:color="auto" w:fill="E7F0F9"/>
          </w:tcPr>
          <w:p w14:paraId="610FA2B5" w14:textId="77777777" w:rsidR="00367E91" w:rsidRDefault="002B0324">
            <w:pPr>
              <w:spacing w:after="0" w:line="240" w:lineRule="auto"/>
            </w:pPr>
            <w:r>
              <w:rPr>
                <w:b/>
              </w:rPr>
              <w:t>Naziv obveznika</w:t>
            </w:r>
          </w:p>
        </w:tc>
        <w:tc>
          <w:tcPr>
            <w:tcW w:w="0" w:type="auto"/>
            <w:shd w:val="clear" w:color="auto" w:fill="E7F0F9"/>
          </w:tcPr>
          <w:p w14:paraId="2FE1D637" w14:textId="77777777" w:rsidR="00367E91" w:rsidRDefault="002B0324">
            <w:pPr>
              <w:spacing w:after="0" w:line="240" w:lineRule="auto"/>
            </w:pPr>
            <w:r>
              <w:t>SVEUČILIŠTE JOSIPA JURJA STROSSMAYERA U OSIJEKU - PRAVNI FAKULTET</w:t>
            </w:r>
          </w:p>
        </w:tc>
      </w:tr>
      <w:tr w:rsidR="00367E91" w14:paraId="7AD1A7B4" w14:textId="77777777">
        <w:tblPrEx>
          <w:tblCellMar>
            <w:top w:w="0" w:type="dxa"/>
            <w:bottom w:w="0" w:type="dxa"/>
          </w:tblCellMar>
        </w:tblPrEx>
        <w:trPr>
          <w:tblCellSpacing w:w="60" w:type="dxa"/>
        </w:trPr>
        <w:tc>
          <w:tcPr>
            <w:tcW w:w="1200" w:type="pct"/>
            <w:shd w:val="clear" w:color="auto" w:fill="E7F0F9"/>
          </w:tcPr>
          <w:p w14:paraId="11636165" w14:textId="77777777" w:rsidR="00367E91" w:rsidRDefault="002B0324">
            <w:pPr>
              <w:spacing w:after="0" w:line="240" w:lineRule="auto"/>
            </w:pPr>
            <w:r>
              <w:rPr>
                <w:b/>
              </w:rPr>
              <w:t>Razina</w:t>
            </w:r>
          </w:p>
        </w:tc>
        <w:tc>
          <w:tcPr>
            <w:tcW w:w="0" w:type="auto"/>
            <w:shd w:val="clear" w:color="auto" w:fill="E7F0F9"/>
          </w:tcPr>
          <w:p w14:paraId="2C9C14AB" w14:textId="77777777" w:rsidR="00367E91" w:rsidRDefault="002B0324">
            <w:pPr>
              <w:spacing w:after="0" w:line="240" w:lineRule="auto"/>
            </w:pPr>
            <w:r>
              <w:t>11</w:t>
            </w:r>
          </w:p>
        </w:tc>
      </w:tr>
    </w:tbl>
    <w:p w14:paraId="581B9E73" w14:textId="77777777" w:rsidR="00367E91" w:rsidRDefault="002B0324">
      <w:r>
        <w:br/>
      </w:r>
    </w:p>
    <w:p w14:paraId="369A7792" w14:textId="77777777" w:rsidR="00367E91" w:rsidRDefault="002B0324">
      <w:pPr>
        <w:spacing w:line="240" w:lineRule="auto"/>
        <w:jc w:val="center"/>
      </w:pPr>
      <w:r>
        <w:rPr>
          <w:b/>
          <w:sz w:val="28"/>
        </w:rPr>
        <w:t>BILJEŠKE UZ FINANCIJSKE IZVJEŠTAJE</w:t>
      </w:r>
    </w:p>
    <w:p w14:paraId="5EE9F50D" w14:textId="77777777" w:rsidR="00367E91" w:rsidRDefault="002B0324">
      <w:pPr>
        <w:spacing w:line="240" w:lineRule="auto"/>
        <w:jc w:val="center"/>
      </w:pPr>
      <w:r>
        <w:rPr>
          <w:b/>
          <w:sz w:val="28"/>
        </w:rPr>
        <w:t>ZA RAZDOBLJE</w:t>
      </w:r>
    </w:p>
    <w:p w14:paraId="506AEBD5" w14:textId="77777777" w:rsidR="00367E91" w:rsidRDefault="002B0324">
      <w:pPr>
        <w:spacing w:line="240" w:lineRule="auto"/>
        <w:jc w:val="center"/>
      </w:pPr>
      <w:r>
        <w:rPr>
          <w:b/>
          <w:sz w:val="28"/>
        </w:rPr>
        <w:t>I - XII 2025.</w:t>
      </w:r>
    </w:p>
    <w:p w14:paraId="30E62ABD" w14:textId="77777777" w:rsidR="00367E91" w:rsidRDefault="00367E91"/>
    <w:p w14:paraId="09025EC5" w14:textId="77777777" w:rsidR="00367E91" w:rsidRDefault="002B0324">
      <w:pPr>
        <w:keepNext/>
        <w:spacing w:line="240" w:lineRule="auto"/>
        <w:jc w:val="center"/>
      </w:pPr>
      <w:r>
        <w:rPr>
          <w:b/>
          <w:sz w:val="28"/>
        </w:rPr>
        <w:t>Izvještaj o prihodima i rashodima, primicima i izdacima</w:t>
      </w:r>
    </w:p>
    <w:p w14:paraId="3AFA5155" w14:textId="77777777" w:rsidR="00367E91" w:rsidRDefault="002B0324">
      <w:pPr>
        <w:keepNext/>
        <w:spacing w:line="240" w:lineRule="auto"/>
        <w:jc w:val="center"/>
      </w:pPr>
      <w:r>
        <w:rPr>
          <w:sz w:val="28"/>
        </w:rPr>
        <w:t>Bilješka 1.</w:t>
      </w:r>
    </w:p>
    <w:tbl>
      <w:tblPr>
        <w:tblW w:w="0" w:type="auto"/>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367E91" w14:paraId="1419C188"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00EF256" w14:textId="77777777" w:rsidR="00367E91" w:rsidRDefault="002B0324">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48739985" w14:textId="77777777" w:rsidR="00367E91" w:rsidRDefault="002B0324">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5D559B6" w14:textId="77777777" w:rsidR="00367E91" w:rsidRDefault="002B0324">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4DF5F27" w14:textId="77777777" w:rsidR="00367E91" w:rsidRDefault="002B0324">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852324E" w14:textId="77777777" w:rsidR="00367E91" w:rsidRDefault="002B0324">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460E40F" w14:textId="77777777" w:rsidR="00367E91" w:rsidRDefault="002B0324">
            <w:pPr>
              <w:keepNext/>
              <w:keepLines/>
              <w:spacing w:after="0" w:line="240" w:lineRule="auto"/>
              <w:jc w:val="center"/>
            </w:pPr>
            <w:r>
              <w:rPr>
                <w:b/>
                <w:sz w:val="18"/>
              </w:rPr>
              <w:t>Indeks (%)</w:t>
            </w:r>
          </w:p>
        </w:tc>
      </w:tr>
      <w:tr w:rsidR="00367E91" w14:paraId="46FA77AE" w14:textId="77777777">
        <w:tblPrEx>
          <w:tblCellMar>
            <w:top w:w="0" w:type="dxa"/>
            <w:bottom w:w="0" w:type="dxa"/>
          </w:tblCellMar>
        </w:tblPrEx>
        <w:trPr>
          <w:cantSplit/>
          <w:trHeight w:val="560"/>
        </w:trPr>
        <w:tc>
          <w:tcPr>
            <w:tcW w:w="700" w:type="dxa"/>
            <w:tcMar>
              <w:top w:w="0" w:type="dxa"/>
              <w:bottom w:w="0" w:type="dxa"/>
            </w:tcMar>
            <w:vAlign w:val="center"/>
          </w:tcPr>
          <w:p w14:paraId="3B224D15" w14:textId="77777777" w:rsidR="00367E91" w:rsidRDefault="002B0324">
            <w:pPr>
              <w:keepNext/>
              <w:keepLines/>
              <w:spacing w:after="0" w:line="240" w:lineRule="auto"/>
            </w:pPr>
            <w:r>
              <w:rPr>
                <w:sz w:val="18"/>
              </w:rPr>
              <w:t>6</w:t>
            </w:r>
          </w:p>
        </w:tc>
        <w:tc>
          <w:tcPr>
            <w:tcW w:w="3180" w:type="dxa"/>
            <w:tcMar>
              <w:top w:w="0" w:type="dxa"/>
              <w:bottom w:w="0" w:type="dxa"/>
            </w:tcMar>
            <w:vAlign w:val="center"/>
          </w:tcPr>
          <w:p w14:paraId="2DF3EDD4" w14:textId="77777777" w:rsidR="00367E91" w:rsidRDefault="002B0324">
            <w:pPr>
              <w:keepNext/>
              <w:keepLines/>
              <w:spacing w:after="0" w:line="240" w:lineRule="auto"/>
            </w:pPr>
            <w:r>
              <w:rPr>
                <w:sz w:val="18"/>
              </w:rPr>
              <w:t xml:space="preserve">PRIHODI POSLOVANJA (šifre </w:t>
            </w:r>
            <w:r>
              <w:rPr>
                <w:sz w:val="18"/>
              </w:rPr>
              <w:t>61+62+63+64+65+66+67+68)</w:t>
            </w:r>
          </w:p>
        </w:tc>
        <w:tc>
          <w:tcPr>
            <w:tcW w:w="700" w:type="dxa"/>
            <w:tcMar>
              <w:top w:w="0" w:type="dxa"/>
              <w:bottom w:w="0" w:type="dxa"/>
            </w:tcMar>
            <w:vAlign w:val="center"/>
          </w:tcPr>
          <w:p w14:paraId="01F7B7A2" w14:textId="77777777" w:rsidR="00367E91" w:rsidRDefault="002B0324">
            <w:pPr>
              <w:keepNext/>
              <w:keepLines/>
              <w:spacing w:after="0" w:line="240" w:lineRule="auto"/>
            </w:pPr>
            <w:r>
              <w:rPr>
                <w:sz w:val="18"/>
              </w:rPr>
              <w:t>6</w:t>
            </w:r>
          </w:p>
        </w:tc>
        <w:tc>
          <w:tcPr>
            <w:tcW w:w="1860" w:type="dxa"/>
            <w:tcMar>
              <w:top w:w="0" w:type="dxa"/>
              <w:bottom w:w="0" w:type="dxa"/>
            </w:tcMar>
            <w:vAlign w:val="center"/>
          </w:tcPr>
          <w:p w14:paraId="174C7E9F" w14:textId="77777777" w:rsidR="00367E91" w:rsidRDefault="002B0324">
            <w:pPr>
              <w:keepNext/>
              <w:keepLines/>
              <w:spacing w:after="0" w:line="240" w:lineRule="auto"/>
              <w:jc w:val="right"/>
            </w:pPr>
            <w:r>
              <w:rPr>
                <w:sz w:val="18"/>
              </w:rPr>
              <w:t>5.139.717,13</w:t>
            </w:r>
          </w:p>
        </w:tc>
        <w:tc>
          <w:tcPr>
            <w:tcW w:w="1860" w:type="dxa"/>
            <w:tcMar>
              <w:top w:w="0" w:type="dxa"/>
              <w:bottom w:w="0" w:type="dxa"/>
            </w:tcMar>
            <w:vAlign w:val="center"/>
          </w:tcPr>
          <w:p w14:paraId="6CA25927" w14:textId="77777777" w:rsidR="00367E91" w:rsidRDefault="002B0324">
            <w:pPr>
              <w:keepNext/>
              <w:keepLines/>
              <w:spacing w:after="0" w:line="240" w:lineRule="auto"/>
              <w:jc w:val="right"/>
            </w:pPr>
            <w:r>
              <w:rPr>
                <w:sz w:val="18"/>
              </w:rPr>
              <w:t>5.583.320,19</w:t>
            </w:r>
          </w:p>
        </w:tc>
        <w:tc>
          <w:tcPr>
            <w:tcW w:w="700" w:type="dxa"/>
            <w:tcMar>
              <w:top w:w="0" w:type="dxa"/>
              <w:bottom w:w="0" w:type="dxa"/>
            </w:tcMar>
            <w:vAlign w:val="center"/>
          </w:tcPr>
          <w:p w14:paraId="2B431146" w14:textId="77777777" w:rsidR="00367E91" w:rsidRDefault="002B0324">
            <w:pPr>
              <w:keepNext/>
              <w:keepLines/>
              <w:spacing w:after="0" w:line="240" w:lineRule="auto"/>
              <w:jc w:val="right"/>
            </w:pPr>
            <w:r>
              <w:rPr>
                <w:sz w:val="18"/>
              </w:rPr>
              <w:t>108,6</w:t>
            </w:r>
          </w:p>
        </w:tc>
      </w:tr>
      <w:tr w:rsidR="00367E91" w14:paraId="6884D70F" w14:textId="77777777">
        <w:tblPrEx>
          <w:tblCellMar>
            <w:top w:w="0" w:type="dxa"/>
            <w:bottom w:w="0" w:type="dxa"/>
          </w:tblCellMar>
        </w:tblPrEx>
        <w:trPr>
          <w:cantSplit/>
          <w:trHeight w:val="560"/>
        </w:trPr>
        <w:tc>
          <w:tcPr>
            <w:tcW w:w="700" w:type="dxa"/>
            <w:tcMar>
              <w:top w:w="0" w:type="dxa"/>
              <w:bottom w:w="0" w:type="dxa"/>
            </w:tcMar>
            <w:vAlign w:val="center"/>
          </w:tcPr>
          <w:p w14:paraId="11CE3278" w14:textId="77777777" w:rsidR="00367E91" w:rsidRDefault="002B0324">
            <w:pPr>
              <w:keepNext/>
              <w:keepLines/>
              <w:spacing w:after="0" w:line="240" w:lineRule="auto"/>
            </w:pPr>
            <w:r>
              <w:rPr>
                <w:sz w:val="18"/>
              </w:rPr>
              <w:t>3</w:t>
            </w:r>
          </w:p>
        </w:tc>
        <w:tc>
          <w:tcPr>
            <w:tcW w:w="3180" w:type="dxa"/>
            <w:tcMar>
              <w:top w:w="0" w:type="dxa"/>
              <w:bottom w:w="0" w:type="dxa"/>
            </w:tcMar>
            <w:vAlign w:val="center"/>
          </w:tcPr>
          <w:p w14:paraId="2E72DA6B" w14:textId="77777777" w:rsidR="00367E91" w:rsidRDefault="002B0324">
            <w:pPr>
              <w:keepNext/>
              <w:keepLines/>
              <w:spacing w:after="0" w:line="240" w:lineRule="auto"/>
            </w:pPr>
            <w:r>
              <w:rPr>
                <w:sz w:val="18"/>
              </w:rPr>
              <w:t>RASHODI POSLOVANJA (šifre 31+32+34+35+36+37+38)</w:t>
            </w:r>
          </w:p>
        </w:tc>
        <w:tc>
          <w:tcPr>
            <w:tcW w:w="700" w:type="dxa"/>
            <w:tcMar>
              <w:top w:w="0" w:type="dxa"/>
              <w:bottom w:w="0" w:type="dxa"/>
            </w:tcMar>
            <w:vAlign w:val="center"/>
          </w:tcPr>
          <w:p w14:paraId="073216E3" w14:textId="77777777" w:rsidR="00367E91" w:rsidRDefault="002B0324">
            <w:pPr>
              <w:keepNext/>
              <w:keepLines/>
              <w:spacing w:after="0" w:line="240" w:lineRule="auto"/>
            </w:pPr>
            <w:r>
              <w:rPr>
                <w:sz w:val="18"/>
              </w:rPr>
              <w:t>3</w:t>
            </w:r>
          </w:p>
        </w:tc>
        <w:tc>
          <w:tcPr>
            <w:tcW w:w="1860" w:type="dxa"/>
            <w:tcMar>
              <w:top w:w="0" w:type="dxa"/>
              <w:bottom w:w="0" w:type="dxa"/>
            </w:tcMar>
            <w:vAlign w:val="center"/>
          </w:tcPr>
          <w:p w14:paraId="27A4B80A" w14:textId="77777777" w:rsidR="00367E91" w:rsidRDefault="002B0324">
            <w:pPr>
              <w:keepNext/>
              <w:keepLines/>
              <w:spacing w:after="0" w:line="240" w:lineRule="auto"/>
              <w:jc w:val="right"/>
            </w:pPr>
            <w:r>
              <w:rPr>
                <w:sz w:val="18"/>
              </w:rPr>
              <w:t>5.452.381,09</w:t>
            </w:r>
          </w:p>
        </w:tc>
        <w:tc>
          <w:tcPr>
            <w:tcW w:w="1860" w:type="dxa"/>
            <w:tcMar>
              <w:top w:w="0" w:type="dxa"/>
              <w:bottom w:w="0" w:type="dxa"/>
            </w:tcMar>
            <w:vAlign w:val="center"/>
          </w:tcPr>
          <w:p w14:paraId="75352C99" w14:textId="77777777" w:rsidR="00367E91" w:rsidRDefault="002B0324">
            <w:pPr>
              <w:keepNext/>
              <w:keepLines/>
              <w:spacing w:after="0" w:line="240" w:lineRule="auto"/>
              <w:jc w:val="right"/>
            </w:pPr>
            <w:r>
              <w:rPr>
                <w:sz w:val="18"/>
              </w:rPr>
              <w:t>5.978.161,13</w:t>
            </w:r>
          </w:p>
        </w:tc>
        <w:tc>
          <w:tcPr>
            <w:tcW w:w="700" w:type="dxa"/>
            <w:tcMar>
              <w:top w:w="0" w:type="dxa"/>
              <w:bottom w:w="0" w:type="dxa"/>
            </w:tcMar>
            <w:vAlign w:val="center"/>
          </w:tcPr>
          <w:p w14:paraId="13FCE90A" w14:textId="77777777" w:rsidR="00367E91" w:rsidRDefault="002B0324">
            <w:pPr>
              <w:keepNext/>
              <w:keepLines/>
              <w:spacing w:after="0" w:line="240" w:lineRule="auto"/>
              <w:jc w:val="right"/>
            </w:pPr>
            <w:r>
              <w:rPr>
                <w:sz w:val="18"/>
              </w:rPr>
              <w:t>109,6</w:t>
            </w:r>
          </w:p>
        </w:tc>
      </w:tr>
      <w:tr w:rsidR="00367E91" w14:paraId="5AAB16C7" w14:textId="77777777">
        <w:tblPrEx>
          <w:tblCellMar>
            <w:top w:w="0" w:type="dxa"/>
            <w:bottom w:w="0" w:type="dxa"/>
          </w:tblCellMar>
        </w:tblPrEx>
        <w:trPr>
          <w:cantSplit/>
          <w:trHeight w:val="560"/>
        </w:trPr>
        <w:tc>
          <w:tcPr>
            <w:tcW w:w="700" w:type="dxa"/>
            <w:tcMar>
              <w:top w:w="0" w:type="dxa"/>
              <w:bottom w:w="0" w:type="dxa"/>
            </w:tcMar>
            <w:vAlign w:val="center"/>
          </w:tcPr>
          <w:p w14:paraId="4B3B3DA7" w14:textId="77777777" w:rsidR="00367E91" w:rsidRDefault="00367E91">
            <w:pPr>
              <w:keepNext/>
              <w:keepLines/>
              <w:spacing w:after="0" w:line="240" w:lineRule="auto"/>
            </w:pPr>
          </w:p>
        </w:tc>
        <w:tc>
          <w:tcPr>
            <w:tcW w:w="3180" w:type="dxa"/>
            <w:tcMar>
              <w:top w:w="0" w:type="dxa"/>
              <w:bottom w:w="0" w:type="dxa"/>
            </w:tcMar>
            <w:vAlign w:val="center"/>
          </w:tcPr>
          <w:p w14:paraId="3AB91C64" w14:textId="77777777" w:rsidR="00367E91" w:rsidRDefault="002B0324">
            <w:pPr>
              <w:keepNext/>
              <w:keepLines/>
              <w:spacing w:after="0" w:line="240" w:lineRule="auto"/>
            </w:pPr>
            <w:r>
              <w:rPr>
                <w:b/>
                <w:sz w:val="18"/>
              </w:rPr>
              <w:t>MANJAK PRIHODA POSLOVANJA (šifre Z005-6)</w:t>
            </w:r>
          </w:p>
        </w:tc>
        <w:tc>
          <w:tcPr>
            <w:tcW w:w="700" w:type="dxa"/>
            <w:tcMar>
              <w:top w:w="0" w:type="dxa"/>
              <w:bottom w:w="0" w:type="dxa"/>
            </w:tcMar>
            <w:vAlign w:val="center"/>
          </w:tcPr>
          <w:p w14:paraId="6A82F14E" w14:textId="77777777" w:rsidR="00367E91" w:rsidRDefault="002B0324">
            <w:pPr>
              <w:keepNext/>
              <w:keepLines/>
              <w:spacing w:after="0" w:line="240" w:lineRule="auto"/>
            </w:pPr>
            <w:r>
              <w:rPr>
                <w:b/>
                <w:sz w:val="18"/>
              </w:rPr>
              <w:t>Y001</w:t>
            </w:r>
          </w:p>
        </w:tc>
        <w:tc>
          <w:tcPr>
            <w:tcW w:w="1860" w:type="dxa"/>
            <w:tcMar>
              <w:top w:w="0" w:type="dxa"/>
              <w:bottom w:w="0" w:type="dxa"/>
            </w:tcMar>
            <w:vAlign w:val="center"/>
          </w:tcPr>
          <w:p w14:paraId="3C703A64" w14:textId="77777777" w:rsidR="00367E91" w:rsidRDefault="002B0324">
            <w:pPr>
              <w:keepNext/>
              <w:keepLines/>
              <w:spacing w:after="0" w:line="240" w:lineRule="auto"/>
              <w:jc w:val="right"/>
            </w:pPr>
            <w:r>
              <w:rPr>
                <w:b/>
                <w:sz w:val="18"/>
              </w:rPr>
              <w:t>312.663,96</w:t>
            </w:r>
          </w:p>
        </w:tc>
        <w:tc>
          <w:tcPr>
            <w:tcW w:w="1860" w:type="dxa"/>
            <w:tcMar>
              <w:top w:w="0" w:type="dxa"/>
              <w:bottom w:w="0" w:type="dxa"/>
            </w:tcMar>
            <w:vAlign w:val="center"/>
          </w:tcPr>
          <w:p w14:paraId="387CEE3D" w14:textId="77777777" w:rsidR="00367E91" w:rsidRDefault="002B0324">
            <w:pPr>
              <w:keepNext/>
              <w:keepLines/>
              <w:spacing w:after="0" w:line="240" w:lineRule="auto"/>
              <w:jc w:val="right"/>
            </w:pPr>
            <w:r>
              <w:rPr>
                <w:b/>
                <w:sz w:val="18"/>
              </w:rPr>
              <w:t>394.840,94</w:t>
            </w:r>
          </w:p>
        </w:tc>
        <w:tc>
          <w:tcPr>
            <w:tcW w:w="700" w:type="dxa"/>
            <w:tcMar>
              <w:top w:w="0" w:type="dxa"/>
              <w:bottom w:w="0" w:type="dxa"/>
            </w:tcMar>
            <w:vAlign w:val="center"/>
          </w:tcPr>
          <w:p w14:paraId="2BCC60D2" w14:textId="77777777" w:rsidR="00367E91" w:rsidRDefault="002B0324">
            <w:pPr>
              <w:keepNext/>
              <w:keepLines/>
              <w:spacing w:after="0" w:line="240" w:lineRule="auto"/>
              <w:jc w:val="right"/>
            </w:pPr>
            <w:r>
              <w:rPr>
                <w:b/>
                <w:sz w:val="18"/>
              </w:rPr>
              <w:t>126,3</w:t>
            </w:r>
          </w:p>
        </w:tc>
      </w:tr>
      <w:tr w:rsidR="00367E91" w14:paraId="7299F7A4" w14:textId="77777777">
        <w:tblPrEx>
          <w:tblCellMar>
            <w:top w:w="0" w:type="dxa"/>
            <w:bottom w:w="0" w:type="dxa"/>
          </w:tblCellMar>
        </w:tblPrEx>
        <w:trPr>
          <w:cantSplit/>
          <w:trHeight w:val="560"/>
        </w:trPr>
        <w:tc>
          <w:tcPr>
            <w:tcW w:w="700" w:type="dxa"/>
            <w:tcMar>
              <w:top w:w="0" w:type="dxa"/>
              <w:bottom w:w="0" w:type="dxa"/>
            </w:tcMar>
            <w:vAlign w:val="center"/>
          </w:tcPr>
          <w:p w14:paraId="7095BCDD" w14:textId="77777777" w:rsidR="00367E91" w:rsidRDefault="002B0324">
            <w:pPr>
              <w:keepNext/>
              <w:keepLines/>
              <w:spacing w:after="0" w:line="240" w:lineRule="auto"/>
            </w:pPr>
            <w:r>
              <w:rPr>
                <w:sz w:val="18"/>
              </w:rPr>
              <w:t>7</w:t>
            </w:r>
          </w:p>
        </w:tc>
        <w:tc>
          <w:tcPr>
            <w:tcW w:w="3180" w:type="dxa"/>
            <w:tcMar>
              <w:top w:w="0" w:type="dxa"/>
              <w:bottom w:w="0" w:type="dxa"/>
            </w:tcMar>
            <w:vAlign w:val="center"/>
          </w:tcPr>
          <w:p w14:paraId="3B7B4BB1" w14:textId="77777777" w:rsidR="00367E91" w:rsidRDefault="002B0324">
            <w:pPr>
              <w:keepNext/>
              <w:keepLines/>
              <w:spacing w:after="0" w:line="240" w:lineRule="auto"/>
            </w:pPr>
            <w:r>
              <w:rPr>
                <w:sz w:val="18"/>
              </w:rPr>
              <w:t xml:space="preserve">Prihodi od prodaje </w:t>
            </w:r>
            <w:r>
              <w:rPr>
                <w:sz w:val="18"/>
              </w:rPr>
              <w:t>nefinancijske imovine (šifre 71+72+73+74)</w:t>
            </w:r>
          </w:p>
        </w:tc>
        <w:tc>
          <w:tcPr>
            <w:tcW w:w="700" w:type="dxa"/>
            <w:tcMar>
              <w:top w:w="0" w:type="dxa"/>
              <w:bottom w:w="0" w:type="dxa"/>
            </w:tcMar>
            <w:vAlign w:val="center"/>
          </w:tcPr>
          <w:p w14:paraId="0413A43D" w14:textId="77777777" w:rsidR="00367E91" w:rsidRDefault="002B0324">
            <w:pPr>
              <w:keepNext/>
              <w:keepLines/>
              <w:spacing w:after="0" w:line="240" w:lineRule="auto"/>
            </w:pPr>
            <w:r>
              <w:rPr>
                <w:sz w:val="18"/>
              </w:rPr>
              <w:t>7</w:t>
            </w:r>
          </w:p>
        </w:tc>
        <w:tc>
          <w:tcPr>
            <w:tcW w:w="1860" w:type="dxa"/>
            <w:tcMar>
              <w:top w:w="0" w:type="dxa"/>
              <w:bottom w:w="0" w:type="dxa"/>
            </w:tcMar>
            <w:vAlign w:val="center"/>
          </w:tcPr>
          <w:p w14:paraId="009070F6" w14:textId="77777777" w:rsidR="00367E91" w:rsidRDefault="002B0324">
            <w:pPr>
              <w:keepNext/>
              <w:keepLines/>
              <w:spacing w:after="0" w:line="240" w:lineRule="auto"/>
              <w:jc w:val="right"/>
            </w:pPr>
            <w:r>
              <w:rPr>
                <w:sz w:val="18"/>
              </w:rPr>
              <w:t>0,00</w:t>
            </w:r>
          </w:p>
        </w:tc>
        <w:tc>
          <w:tcPr>
            <w:tcW w:w="1860" w:type="dxa"/>
            <w:tcMar>
              <w:top w:w="0" w:type="dxa"/>
              <w:bottom w:w="0" w:type="dxa"/>
            </w:tcMar>
            <w:vAlign w:val="center"/>
          </w:tcPr>
          <w:p w14:paraId="404A34B4" w14:textId="77777777" w:rsidR="00367E91" w:rsidRDefault="002B0324">
            <w:pPr>
              <w:keepNext/>
              <w:keepLines/>
              <w:spacing w:after="0" w:line="240" w:lineRule="auto"/>
              <w:jc w:val="right"/>
            </w:pPr>
            <w:r>
              <w:rPr>
                <w:sz w:val="18"/>
              </w:rPr>
              <w:t>0,00</w:t>
            </w:r>
          </w:p>
        </w:tc>
        <w:tc>
          <w:tcPr>
            <w:tcW w:w="700" w:type="dxa"/>
            <w:tcMar>
              <w:top w:w="0" w:type="dxa"/>
              <w:bottom w:w="0" w:type="dxa"/>
            </w:tcMar>
            <w:vAlign w:val="center"/>
          </w:tcPr>
          <w:p w14:paraId="79D4C517" w14:textId="77777777" w:rsidR="00367E91" w:rsidRDefault="002B0324">
            <w:pPr>
              <w:keepNext/>
              <w:keepLines/>
              <w:spacing w:after="0" w:line="240" w:lineRule="auto"/>
              <w:jc w:val="right"/>
            </w:pPr>
            <w:r>
              <w:rPr>
                <w:sz w:val="18"/>
              </w:rPr>
              <w:t>-</w:t>
            </w:r>
          </w:p>
        </w:tc>
      </w:tr>
      <w:tr w:rsidR="00367E91" w14:paraId="14B47F92" w14:textId="77777777">
        <w:tblPrEx>
          <w:tblCellMar>
            <w:top w:w="0" w:type="dxa"/>
            <w:bottom w:w="0" w:type="dxa"/>
          </w:tblCellMar>
        </w:tblPrEx>
        <w:trPr>
          <w:cantSplit/>
          <w:trHeight w:val="560"/>
        </w:trPr>
        <w:tc>
          <w:tcPr>
            <w:tcW w:w="700" w:type="dxa"/>
            <w:tcMar>
              <w:top w:w="0" w:type="dxa"/>
              <w:bottom w:w="0" w:type="dxa"/>
            </w:tcMar>
            <w:vAlign w:val="center"/>
          </w:tcPr>
          <w:p w14:paraId="17BE4B30" w14:textId="77777777" w:rsidR="00367E91" w:rsidRDefault="002B0324">
            <w:pPr>
              <w:keepNext/>
              <w:keepLines/>
              <w:spacing w:after="0" w:line="240" w:lineRule="auto"/>
            </w:pPr>
            <w:r>
              <w:rPr>
                <w:sz w:val="18"/>
              </w:rPr>
              <w:t>4</w:t>
            </w:r>
          </w:p>
        </w:tc>
        <w:tc>
          <w:tcPr>
            <w:tcW w:w="3180" w:type="dxa"/>
            <w:tcMar>
              <w:top w:w="0" w:type="dxa"/>
              <w:bottom w:w="0" w:type="dxa"/>
            </w:tcMar>
            <w:vAlign w:val="center"/>
          </w:tcPr>
          <w:p w14:paraId="7A57269C" w14:textId="77777777" w:rsidR="00367E91" w:rsidRDefault="002B0324">
            <w:pPr>
              <w:keepNext/>
              <w:keepLines/>
              <w:spacing w:after="0" w:line="240" w:lineRule="auto"/>
            </w:pPr>
            <w:r>
              <w:rPr>
                <w:sz w:val="18"/>
              </w:rPr>
              <w:t>Rashodi za nabavu nefinancijske imovine (šifre 41+42+43+44+45)</w:t>
            </w:r>
          </w:p>
        </w:tc>
        <w:tc>
          <w:tcPr>
            <w:tcW w:w="700" w:type="dxa"/>
            <w:tcMar>
              <w:top w:w="0" w:type="dxa"/>
              <w:bottom w:w="0" w:type="dxa"/>
            </w:tcMar>
            <w:vAlign w:val="center"/>
          </w:tcPr>
          <w:p w14:paraId="7C711505" w14:textId="77777777" w:rsidR="00367E91" w:rsidRDefault="002B0324">
            <w:pPr>
              <w:keepNext/>
              <w:keepLines/>
              <w:spacing w:after="0" w:line="240" w:lineRule="auto"/>
            </w:pPr>
            <w:r>
              <w:rPr>
                <w:sz w:val="18"/>
              </w:rPr>
              <w:t>4</w:t>
            </w:r>
          </w:p>
        </w:tc>
        <w:tc>
          <w:tcPr>
            <w:tcW w:w="1860" w:type="dxa"/>
            <w:tcMar>
              <w:top w:w="0" w:type="dxa"/>
              <w:bottom w:w="0" w:type="dxa"/>
            </w:tcMar>
            <w:vAlign w:val="center"/>
          </w:tcPr>
          <w:p w14:paraId="194065D1" w14:textId="77777777" w:rsidR="00367E91" w:rsidRDefault="002B0324">
            <w:pPr>
              <w:keepNext/>
              <w:keepLines/>
              <w:spacing w:after="0" w:line="240" w:lineRule="auto"/>
              <w:jc w:val="right"/>
            </w:pPr>
            <w:r>
              <w:rPr>
                <w:sz w:val="18"/>
              </w:rPr>
              <w:t>53.788,46</w:t>
            </w:r>
          </w:p>
        </w:tc>
        <w:tc>
          <w:tcPr>
            <w:tcW w:w="1860" w:type="dxa"/>
            <w:tcMar>
              <w:top w:w="0" w:type="dxa"/>
              <w:bottom w:w="0" w:type="dxa"/>
            </w:tcMar>
            <w:vAlign w:val="center"/>
          </w:tcPr>
          <w:p w14:paraId="568EC649" w14:textId="77777777" w:rsidR="00367E91" w:rsidRDefault="002B0324">
            <w:pPr>
              <w:keepNext/>
              <w:keepLines/>
              <w:spacing w:after="0" w:line="240" w:lineRule="auto"/>
              <w:jc w:val="right"/>
            </w:pPr>
            <w:r>
              <w:rPr>
                <w:sz w:val="18"/>
              </w:rPr>
              <w:t>49.560,42</w:t>
            </w:r>
          </w:p>
        </w:tc>
        <w:tc>
          <w:tcPr>
            <w:tcW w:w="700" w:type="dxa"/>
            <w:tcMar>
              <w:top w:w="0" w:type="dxa"/>
              <w:bottom w:w="0" w:type="dxa"/>
            </w:tcMar>
            <w:vAlign w:val="center"/>
          </w:tcPr>
          <w:p w14:paraId="3E59C3AC" w14:textId="77777777" w:rsidR="00367E91" w:rsidRDefault="002B0324">
            <w:pPr>
              <w:keepNext/>
              <w:keepLines/>
              <w:spacing w:after="0" w:line="240" w:lineRule="auto"/>
              <w:jc w:val="right"/>
            </w:pPr>
            <w:r>
              <w:rPr>
                <w:sz w:val="18"/>
              </w:rPr>
              <w:t>92,1</w:t>
            </w:r>
          </w:p>
        </w:tc>
      </w:tr>
      <w:tr w:rsidR="00367E91" w14:paraId="796DB91F" w14:textId="77777777">
        <w:tblPrEx>
          <w:tblCellMar>
            <w:top w:w="0" w:type="dxa"/>
            <w:bottom w:w="0" w:type="dxa"/>
          </w:tblCellMar>
        </w:tblPrEx>
        <w:trPr>
          <w:cantSplit/>
          <w:trHeight w:val="560"/>
        </w:trPr>
        <w:tc>
          <w:tcPr>
            <w:tcW w:w="700" w:type="dxa"/>
            <w:tcMar>
              <w:top w:w="0" w:type="dxa"/>
              <w:bottom w:w="0" w:type="dxa"/>
            </w:tcMar>
            <w:vAlign w:val="center"/>
          </w:tcPr>
          <w:p w14:paraId="6B8EAE99" w14:textId="77777777" w:rsidR="00367E91" w:rsidRDefault="00367E91">
            <w:pPr>
              <w:keepNext/>
              <w:keepLines/>
              <w:spacing w:after="0" w:line="240" w:lineRule="auto"/>
            </w:pPr>
          </w:p>
        </w:tc>
        <w:tc>
          <w:tcPr>
            <w:tcW w:w="3180" w:type="dxa"/>
            <w:tcMar>
              <w:top w:w="0" w:type="dxa"/>
              <w:bottom w:w="0" w:type="dxa"/>
            </w:tcMar>
            <w:vAlign w:val="center"/>
          </w:tcPr>
          <w:p w14:paraId="5BCD0403" w14:textId="77777777" w:rsidR="00367E91" w:rsidRDefault="002B0324">
            <w:pPr>
              <w:keepNext/>
              <w:keepLines/>
              <w:spacing w:after="0" w:line="240" w:lineRule="auto"/>
            </w:pPr>
            <w:r>
              <w:rPr>
                <w:b/>
                <w:sz w:val="18"/>
              </w:rPr>
              <w:t>MANJAK PRIHODA OD NEFINANCIJSKE IMOVINE (šifre 4-7)</w:t>
            </w:r>
          </w:p>
        </w:tc>
        <w:tc>
          <w:tcPr>
            <w:tcW w:w="700" w:type="dxa"/>
            <w:tcMar>
              <w:top w:w="0" w:type="dxa"/>
              <w:bottom w:w="0" w:type="dxa"/>
            </w:tcMar>
            <w:vAlign w:val="center"/>
          </w:tcPr>
          <w:p w14:paraId="631FDE99" w14:textId="77777777" w:rsidR="00367E91" w:rsidRDefault="002B0324">
            <w:pPr>
              <w:keepNext/>
              <w:keepLines/>
              <w:spacing w:after="0" w:line="240" w:lineRule="auto"/>
            </w:pPr>
            <w:r>
              <w:rPr>
                <w:b/>
                <w:sz w:val="18"/>
              </w:rPr>
              <w:t>Y002</w:t>
            </w:r>
          </w:p>
        </w:tc>
        <w:tc>
          <w:tcPr>
            <w:tcW w:w="1860" w:type="dxa"/>
            <w:tcMar>
              <w:top w:w="0" w:type="dxa"/>
              <w:bottom w:w="0" w:type="dxa"/>
            </w:tcMar>
            <w:vAlign w:val="center"/>
          </w:tcPr>
          <w:p w14:paraId="58AB88EB" w14:textId="77777777" w:rsidR="00367E91" w:rsidRDefault="002B0324">
            <w:pPr>
              <w:keepNext/>
              <w:keepLines/>
              <w:spacing w:after="0" w:line="240" w:lineRule="auto"/>
              <w:jc w:val="right"/>
            </w:pPr>
            <w:r>
              <w:rPr>
                <w:b/>
                <w:sz w:val="18"/>
              </w:rPr>
              <w:t>53.788,46</w:t>
            </w:r>
          </w:p>
        </w:tc>
        <w:tc>
          <w:tcPr>
            <w:tcW w:w="1860" w:type="dxa"/>
            <w:tcMar>
              <w:top w:w="0" w:type="dxa"/>
              <w:bottom w:w="0" w:type="dxa"/>
            </w:tcMar>
            <w:vAlign w:val="center"/>
          </w:tcPr>
          <w:p w14:paraId="47B08A72" w14:textId="77777777" w:rsidR="00367E91" w:rsidRDefault="002B0324">
            <w:pPr>
              <w:keepNext/>
              <w:keepLines/>
              <w:spacing w:after="0" w:line="240" w:lineRule="auto"/>
              <w:jc w:val="right"/>
            </w:pPr>
            <w:r>
              <w:rPr>
                <w:b/>
                <w:sz w:val="18"/>
              </w:rPr>
              <w:t>49.560,42</w:t>
            </w:r>
          </w:p>
        </w:tc>
        <w:tc>
          <w:tcPr>
            <w:tcW w:w="700" w:type="dxa"/>
            <w:tcMar>
              <w:top w:w="0" w:type="dxa"/>
              <w:bottom w:w="0" w:type="dxa"/>
            </w:tcMar>
            <w:vAlign w:val="center"/>
          </w:tcPr>
          <w:p w14:paraId="5ABC008B" w14:textId="77777777" w:rsidR="00367E91" w:rsidRDefault="002B0324">
            <w:pPr>
              <w:keepNext/>
              <w:keepLines/>
              <w:spacing w:after="0" w:line="240" w:lineRule="auto"/>
              <w:jc w:val="right"/>
            </w:pPr>
            <w:r>
              <w:rPr>
                <w:b/>
                <w:sz w:val="18"/>
              </w:rPr>
              <w:t>92,1</w:t>
            </w:r>
          </w:p>
        </w:tc>
      </w:tr>
      <w:tr w:rsidR="00367E91" w14:paraId="4D8883C8" w14:textId="77777777">
        <w:tblPrEx>
          <w:tblCellMar>
            <w:top w:w="0" w:type="dxa"/>
            <w:bottom w:w="0" w:type="dxa"/>
          </w:tblCellMar>
        </w:tblPrEx>
        <w:trPr>
          <w:cantSplit/>
          <w:trHeight w:val="560"/>
        </w:trPr>
        <w:tc>
          <w:tcPr>
            <w:tcW w:w="700" w:type="dxa"/>
            <w:tcMar>
              <w:top w:w="0" w:type="dxa"/>
              <w:bottom w:w="0" w:type="dxa"/>
            </w:tcMar>
            <w:vAlign w:val="center"/>
          </w:tcPr>
          <w:p w14:paraId="0163D84C" w14:textId="77777777" w:rsidR="00367E91" w:rsidRDefault="002B0324">
            <w:pPr>
              <w:keepNext/>
              <w:keepLines/>
              <w:spacing w:after="0" w:line="240" w:lineRule="auto"/>
            </w:pPr>
            <w:r>
              <w:rPr>
                <w:sz w:val="18"/>
              </w:rPr>
              <w:t>8</w:t>
            </w:r>
          </w:p>
        </w:tc>
        <w:tc>
          <w:tcPr>
            <w:tcW w:w="3180" w:type="dxa"/>
            <w:tcMar>
              <w:top w:w="0" w:type="dxa"/>
              <w:bottom w:w="0" w:type="dxa"/>
            </w:tcMar>
            <w:vAlign w:val="center"/>
          </w:tcPr>
          <w:p w14:paraId="6E6D7CCD" w14:textId="77777777" w:rsidR="00367E91" w:rsidRDefault="002B0324">
            <w:pPr>
              <w:keepNext/>
              <w:keepLines/>
              <w:spacing w:after="0" w:line="240" w:lineRule="auto"/>
            </w:pPr>
            <w:r>
              <w:rPr>
                <w:sz w:val="18"/>
              </w:rPr>
              <w:t xml:space="preserve">Primici od </w:t>
            </w:r>
            <w:r>
              <w:rPr>
                <w:sz w:val="18"/>
              </w:rPr>
              <w:t>financijske imovine i zaduživanja (šifre 81+82+83+84+85)</w:t>
            </w:r>
          </w:p>
        </w:tc>
        <w:tc>
          <w:tcPr>
            <w:tcW w:w="700" w:type="dxa"/>
            <w:tcMar>
              <w:top w:w="0" w:type="dxa"/>
              <w:bottom w:w="0" w:type="dxa"/>
            </w:tcMar>
            <w:vAlign w:val="center"/>
          </w:tcPr>
          <w:p w14:paraId="7959B038" w14:textId="77777777" w:rsidR="00367E91" w:rsidRDefault="002B0324">
            <w:pPr>
              <w:keepNext/>
              <w:keepLines/>
              <w:spacing w:after="0" w:line="240" w:lineRule="auto"/>
            </w:pPr>
            <w:r>
              <w:rPr>
                <w:sz w:val="18"/>
              </w:rPr>
              <w:t>8</w:t>
            </w:r>
          </w:p>
        </w:tc>
        <w:tc>
          <w:tcPr>
            <w:tcW w:w="1860" w:type="dxa"/>
            <w:tcMar>
              <w:top w:w="0" w:type="dxa"/>
              <w:bottom w:w="0" w:type="dxa"/>
            </w:tcMar>
            <w:vAlign w:val="center"/>
          </w:tcPr>
          <w:p w14:paraId="00CA415E" w14:textId="77777777" w:rsidR="00367E91" w:rsidRDefault="002B0324">
            <w:pPr>
              <w:keepNext/>
              <w:keepLines/>
              <w:spacing w:after="0" w:line="240" w:lineRule="auto"/>
              <w:jc w:val="right"/>
            </w:pPr>
            <w:r>
              <w:rPr>
                <w:sz w:val="18"/>
              </w:rPr>
              <w:t>0,00</w:t>
            </w:r>
          </w:p>
        </w:tc>
        <w:tc>
          <w:tcPr>
            <w:tcW w:w="1860" w:type="dxa"/>
            <w:tcMar>
              <w:top w:w="0" w:type="dxa"/>
              <w:bottom w:w="0" w:type="dxa"/>
            </w:tcMar>
            <w:vAlign w:val="center"/>
          </w:tcPr>
          <w:p w14:paraId="6A3A71B6" w14:textId="77777777" w:rsidR="00367E91" w:rsidRDefault="002B0324">
            <w:pPr>
              <w:keepNext/>
              <w:keepLines/>
              <w:spacing w:after="0" w:line="240" w:lineRule="auto"/>
              <w:jc w:val="right"/>
            </w:pPr>
            <w:r>
              <w:rPr>
                <w:sz w:val="18"/>
              </w:rPr>
              <w:t>0,00</w:t>
            </w:r>
          </w:p>
        </w:tc>
        <w:tc>
          <w:tcPr>
            <w:tcW w:w="700" w:type="dxa"/>
            <w:tcMar>
              <w:top w:w="0" w:type="dxa"/>
              <w:bottom w:w="0" w:type="dxa"/>
            </w:tcMar>
            <w:vAlign w:val="center"/>
          </w:tcPr>
          <w:p w14:paraId="5F2946A8" w14:textId="77777777" w:rsidR="00367E91" w:rsidRDefault="002B0324">
            <w:pPr>
              <w:keepNext/>
              <w:keepLines/>
              <w:spacing w:after="0" w:line="240" w:lineRule="auto"/>
              <w:jc w:val="right"/>
            </w:pPr>
            <w:r>
              <w:rPr>
                <w:sz w:val="18"/>
              </w:rPr>
              <w:t>-</w:t>
            </w:r>
          </w:p>
        </w:tc>
      </w:tr>
      <w:tr w:rsidR="00367E91" w14:paraId="51E4E044" w14:textId="77777777">
        <w:tblPrEx>
          <w:tblCellMar>
            <w:top w:w="0" w:type="dxa"/>
            <w:bottom w:w="0" w:type="dxa"/>
          </w:tblCellMar>
        </w:tblPrEx>
        <w:trPr>
          <w:cantSplit/>
          <w:trHeight w:val="560"/>
        </w:trPr>
        <w:tc>
          <w:tcPr>
            <w:tcW w:w="700" w:type="dxa"/>
            <w:tcMar>
              <w:top w:w="0" w:type="dxa"/>
              <w:bottom w:w="0" w:type="dxa"/>
            </w:tcMar>
            <w:vAlign w:val="center"/>
          </w:tcPr>
          <w:p w14:paraId="093466F4" w14:textId="77777777" w:rsidR="00367E91" w:rsidRDefault="002B0324">
            <w:pPr>
              <w:keepNext/>
              <w:keepLines/>
              <w:spacing w:after="0" w:line="240" w:lineRule="auto"/>
            </w:pPr>
            <w:r>
              <w:rPr>
                <w:sz w:val="18"/>
              </w:rPr>
              <w:t>5</w:t>
            </w:r>
          </w:p>
        </w:tc>
        <w:tc>
          <w:tcPr>
            <w:tcW w:w="3180" w:type="dxa"/>
            <w:tcMar>
              <w:top w:w="0" w:type="dxa"/>
              <w:bottom w:w="0" w:type="dxa"/>
            </w:tcMar>
            <w:vAlign w:val="center"/>
          </w:tcPr>
          <w:p w14:paraId="3A5E4335" w14:textId="77777777" w:rsidR="00367E91" w:rsidRDefault="002B0324">
            <w:pPr>
              <w:keepNext/>
              <w:keepLines/>
              <w:spacing w:after="0" w:line="240" w:lineRule="auto"/>
            </w:pPr>
            <w:r>
              <w:rPr>
                <w:sz w:val="18"/>
              </w:rPr>
              <w:t>Izdaci za financijsku imovinu i otplate zajmova (šifre 51+52+53+54+55)</w:t>
            </w:r>
          </w:p>
        </w:tc>
        <w:tc>
          <w:tcPr>
            <w:tcW w:w="700" w:type="dxa"/>
            <w:tcMar>
              <w:top w:w="0" w:type="dxa"/>
              <w:bottom w:w="0" w:type="dxa"/>
            </w:tcMar>
            <w:vAlign w:val="center"/>
          </w:tcPr>
          <w:p w14:paraId="4D45144E" w14:textId="77777777" w:rsidR="00367E91" w:rsidRDefault="002B0324">
            <w:pPr>
              <w:keepNext/>
              <w:keepLines/>
              <w:spacing w:after="0" w:line="240" w:lineRule="auto"/>
            </w:pPr>
            <w:r>
              <w:rPr>
                <w:sz w:val="18"/>
              </w:rPr>
              <w:t>5</w:t>
            </w:r>
          </w:p>
        </w:tc>
        <w:tc>
          <w:tcPr>
            <w:tcW w:w="1860" w:type="dxa"/>
            <w:tcMar>
              <w:top w:w="0" w:type="dxa"/>
              <w:bottom w:w="0" w:type="dxa"/>
            </w:tcMar>
            <w:vAlign w:val="center"/>
          </w:tcPr>
          <w:p w14:paraId="6E28DC2F" w14:textId="77777777" w:rsidR="00367E91" w:rsidRDefault="002B0324">
            <w:pPr>
              <w:keepNext/>
              <w:keepLines/>
              <w:spacing w:after="0" w:line="240" w:lineRule="auto"/>
              <w:jc w:val="right"/>
            </w:pPr>
            <w:r>
              <w:rPr>
                <w:sz w:val="18"/>
              </w:rPr>
              <w:t>0,00</w:t>
            </w:r>
          </w:p>
        </w:tc>
        <w:tc>
          <w:tcPr>
            <w:tcW w:w="1860" w:type="dxa"/>
            <w:tcMar>
              <w:top w:w="0" w:type="dxa"/>
              <w:bottom w:w="0" w:type="dxa"/>
            </w:tcMar>
            <w:vAlign w:val="center"/>
          </w:tcPr>
          <w:p w14:paraId="3093EDD6" w14:textId="77777777" w:rsidR="00367E91" w:rsidRDefault="002B0324">
            <w:pPr>
              <w:keepNext/>
              <w:keepLines/>
              <w:spacing w:after="0" w:line="240" w:lineRule="auto"/>
              <w:jc w:val="right"/>
            </w:pPr>
            <w:r>
              <w:rPr>
                <w:sz w:val="18"/>
              </w:rPr>
              <w:t>0,00</w:t>
            </w:r>
          </w:p>
        </w:tc>
        <w:tc>
          <w:tcPr>
            <w:tcW w:w="700" w:type="dxa"/>
            <w:tcMar>
              <w:top w:w="0" w:type="dxa"/>
              <w:bottom w:w="0" w:type="dxa"/>
            </w:tcMar>
            <w:vAlign w:val="center"/>
          </w:tcPr>
          <w:p w14:paraId="361800D6" w14:textId="77777777" w:rsidR="00367E91" w:rsidRDefault="002B0324">
            <w:pPr>
              <w:keepNext/>
              <w:keepLines/>
              <w:spacing w:after="0" w:line="240" w:lineRule="auto"/>
              <w:jc w:val="right"/>
            </w:pPr>
            <w:r>
              <w:rPr>
                <w:sz w:val="18"/>
              </w:rPr>
              <w:t>-</w:t>
            </w:r>
          </w:p>
        </w:tc>
      </w:tr>
      <w:tr w:rsidR="00367E91" w14:paraId="17AB7C3E" w14:textId="77777777">
        <w:tblPrEx>
          <w:tblCellMar>
            <w:top w:w="0" w:type="dxa"/>
            <w:bottom w:w="0" w:type="dxa"/>
          </w:tblCellMar>
        </w:tblPrEx>
        <w:trPr>
          <w:cantSplit/>
          <w:trHeight w:val="560"/>
        </w:trPr>
        <w:tc>
          <w:tcPr>
            <w:tcW w:w="700" w:type="dxa"/>
            <w:tcMar>
              <w:top w:w="0" w:type="dxa"/>
              <w:bottom w:w="0" w:type="dxa"/>
            </w:tcMar>
            <w:vAlign w:val="center"/>
          </w:tcPr>
          <w:p w14:paraId="547C7854" w14:textId="77777777" w:rsidR="00367E91" w:rsidRDefault="00367E91">
            <w:pPr>
              <w:keepNext/>
              <w:keepLines/>
              <w:spacing w:after="0" w:line="240" w:lineRule="auto"/>
            </w:pPr>
          </w:p>
        </w:tc>
        <w:tc>
          <w:tcPr>
            <w:tcW w:w="3180" w:type="dxa"/>
            <w:tcMar>
              <w:top w:w="0" w:type="dxa"/>
              <w:bottom w:w="0" w:type="dxa"/>
            </w:tcMar>
            <w:vAlign w:val="center"/>
          </w:tcPr>
          <w:p w14:paraId="4621105F" w14:textId="77777777" w:rsidR="00367E91" w:rsidRDefault="002B0324">
            <w:pPr>
              <w:keepNext/>
              <w:keepLines/>
              <w:spacing w:after="0" w:line="240" w:lineRule="auto"/>
            </w:pPr>
            <w:r>
              <w:rPr>
                <w:b/>
                <w:sz w:val="18"/>
              </w:rPr>
              <w:t>VIŠAK/MANJAK PRIMITAKA OD FINANCIJSKE IMOVINE I ZADUŽIVANJA (šifre 8-5, 5-8)</w:t>
            </w:r>
          </w:p>
        </w:tc>
        <w:tc>
          <w:tcPr>
            <w:tcW w:w="700" w:type="dxa"/>
            <w:tcMar>
              <w:top w:w="0" w:type="dxa"/>
              <w:bottom w:w="0" w:type="dxa"/>
            </w:tcMar>
            <w:vAlign w:val="center"/>
          </w:tcPr>
          <w:p w14:paraId="7D7DEEE4" w14:textId="77777777" w:rsidR="00367E91" w:rsidRDefault="002B0324">
            <w:pPr>
              <w:keepNext/>
              <w:keepLines/>
              <w:spacing w:after="0" w:line="240" w:lineRule="auto"/>
            </w:pPr>
            <w:r>
              <w:rPr>
                <w:b/>
                <w:sz w:val="18"/>
              </w:rPr>
              <w:t>X003, Y003</w:t>
            </w:r>
          </w:p>
        </w:tc>
        <w:tc>
          <w:tcPr>
            <w:tcW w:w="1860" w:type="dxa"/>
            <w:tcMar>
              <w:top w:w="0" w:type="dxa"/>
              <w:bottom w:w="0" w:type="dxa"/>
            </w:tcMar>
            <w:vAlign w:val="center"/>
          </w:tcPr>
          <w:p w14:paraId="63428D9F" w14:textId="77777777" w:rsidR="00367E91" w:rsidRDefault="002B0324">
            <w:pPr>
              <w:keepNext/>
              <w:keepLines/>
              <w:spacing w:after="0" w:line="240" w:lineRule="auto"/>
              <w:jc w:val="right"/>
            </w:pPr>
            <w:r>
              <w:rPr>
                <w:b/>
                <w:sz w:val="18"/>
              </w:rPr>
              <w:t>0,00</w:t>
            </w:r>
          </w:p>
        </w:tc>
        <w:tc>
          <w:tcPr>
            <w:tcW w:w="1860" w:type="dxa"/>
            <w:tcMar>
              <w:top w:w="0" w:type="dxa"/>
              <w:bottom w:w="0" w:type="dxa"/>
            </w:tcMar>
            <w:vAlign w:val="center"/>
          </w:tcPr>
          <w:p w14:paraId="0B400314" w14:textId="77777777" w:rsidR="00367E91" w:rsidRDefault="002B0324">
            <w:pPr>
              <w:keepNext/>
              <w:keepLines/>
              <w:spacing w:after="0" w:line="240" w:lineRule="auto"/>
              <w:jc w:val="right"/>
            </w:pPr>
            <w:r>
              <w:rPr>
                <w:b/>
                <w:sz w:val="18"/>
              </w:rPr>
              <w:t>0,00</w:t>
            </w:r>
          </w:p>
        </w:tc>
        <w:tc>
          <w:tcPr>
            <w:tcW w:w="700" w:type="dxa"/>
            <w:tcMar>
              <w:top w:w="0" w:type="dxa"/>
              <w:bottom w:w="0" w:type="dxa"/>
            </w:tcMar>
            <w:vAlign w:val="center"/>
          </w:tcPr>
          <w:p w14:paraId="31C2C279" w14:textId="77777777" w:rsidR="00367E91" w:rsidRDefault="002B0324">
            <w:pPr>
              <w:keepNext/>
              <w:keepLines/>
              <w:spacing w:after="0" w:line="240" w:lineRule="auto"/>
              <w:jc w:val="right"/>
            </w:pPr>
            <w:r>
              <w:rPr>
                <w:b/>
                <w:sz w:val="18"/>
              </w:rPr>
              <w:t>-</w:t>
            </w:r>
          </w:p>
        </w:tc>
      </w:tr>
      <w:tr w:rsidR="00367E91" w14:paraId="07A9FB3C" w14:textId="77777777">
        <w:tblPrEx>
          <w:tblCellMar>
            <w:top w:w="0" w:type="dxa"/>
            <w:bottom w:w="0" w:type="dxa"/>
          </w:tblCellMar>
        </w:tblPrEx>
        <w:trPr>
          <w:cantSplit/>
          <w:trHeight w:val="560"/>
        </w:trPr>
        <w:tc>
          <w:tcPr>
            <w:tcW w:w="700" w:type="dxa"/>
            <w:tcMar>
              <w:top w:w="0" w:type="dxa"/>
              <w:bottom w:w="0" w:type="dxa"/>
            </w:tcMar>
            <w:vAlign w:val="center"/>
          </w:tcPr>
          <w:p w14:paraId="28CA19A9" w14:textId="77777777" w:rsidR="00367E91" w:rsidRDefault="00367E91">
            <w:pPr>
              <w:keepNext/>
              <w:keepLines/>
              <w:spacing w:after="0" w:line="240" w:lineRule="auto"/>
            </w:pPr>
          </w:p>
        </w:tc>
        <w:tc>
          <w:tcPr>
            <w:tcW w:w="3180" w:type="dxa"/>
            <w:tcMar>
              <w:top w:w="0" w:type="dxa"/>
              <w:bottom w:w="0" w:type="dxa"/>
            </w:tcMar>
            <w:vAlign w:val="center"/>
          </w:tcPr>
          <w:p w14:paraId="6C4738A4" w14:textId="77777777" w:rsidR="00367E91" w:rsidRDefault="002B0324">
            <w:pPr>
              <w:keepNext/>
              <w:keepLines/>
              <w:spacing w:after="0" w:line="240" w:lineRule="auto"/>
            </w:pPr>
            <w:r>
              <w:rPr>
                <w:b/>
                <w:sz w:val="18"/>
              </w:rPr>
              <w:t>MANJAK PRIHODA I PRIMITAKA (šifre Y345-X678)</w:t>
            </w:r>
          </w:p>
        </w:tc>
        <w:tc>
          <w:tcPr>
            <w:tcW w:w="700" w:type="dxa"/>
            <w:tcMar>
              <w:top w:w="0" w:type="dxa"/>
              <w:bottom w:w="0" w:type="dxa"/>
            </w:tcMar>
            <w:vAlign w:val="center"/>
          </w:tcPr>
          <w:p w14:paraId="0354DA07" w14:textId="77777777" w:rsidR="00367E91" w:rsidRDefault="002B0324">
            <w:pPr>
              <w:keepNext/>
              <w:keepLines/>
              <w:spacing w:after="0" w:line="240" w:lineRule="auto"/>
            </w:pPr>
            <w:r>
              <w:rPr>
                <w:b/>
                <w:sz w:val="18"/>
              </w:rPr>
              <w:t>Y005</w:t>
            </w:r>
          </w:p>
        </w:tc>
        <w:tc>
          <w:tcPr>
            <w:tcW w:w="1860" w:type="dxa"/>
            <w:tcMar>
              <w:top w:w="0" w:type="dxa"/>
              <w:bottom w:w="0" w:type="dxa"/>
            </w:tcMar>
            <w:vAlign w:val="center"/>
          </w:tcPr>
          <w:p w14:paraId="693CE820" w14:textId="77777777" w:rsidR="00367E91" w:rsidRDefault="002B0324">
            <w:pPr>
              <w:keepNext/>
              <w:keepLines/>
              <w:spacing w:after="0" w:line="240" w:lineRule="auto"/>
              <w:jc w:val="right"/>
            </w:pPr>
            <w:r>
              <w:rPr>
                <w:b/>
                <w:sz w:val="18"/>
              </w:rPr>
              <w:t>366.452,42</w:t>
            </w:r>
          </w:p>
        </w:tc>
        <w:tc>
          <w:tcPr>
            <w:tcW w:w="1860" w:type="dxa"/>
            <w:tcMar>
              <w:top w:w="0" w:type="dxa"/>
              <w:bottom w:w="0" w:type="dxa"/>
            </w:tcMar>
            <w:vAlign w:val="center"/>
          </w:tcPr>
          <w:p w14:paraId="60A20C8F" w14:textId="77777777" w:rsidR="00367E91" w:rsidRDefault="002B0324">
            <w:pPr>
              <w:keepNext/>
              <w:keepLines/>
              <w:spacing w:after="0" w:line="240" w:lineRule="auto"/>
              <w:jc w:val="right"/>
            </w:pPr>
            <w:r>
              <w:rPr>
                <w:b/>
                <w:sz w:val="18"/>
              </w:rPr>
              <w:t>444.401,36</w:t>
            </w:r>
          </w:p>
        </w:tc>
        <w:tc>
          <w:tcPr>
            <w:tcW w:w="700" w:type="dxa"/>
            <w:tcMar>
              <w:top w:w="0" w:type="dxa"/>
              <w:bottom w:w="0" w:type="dxa"/>
            </w:tcMar>
            <w:vAlign w:val="center"/>
          </w:tcPr>
          <w:p w14:paraId="43C8C13C" w14:textId="77777777" w:rsidR="00367E91" w:rsidRDefault="002B0324">
            <w:pPr>
              <w:keepNext/>
              <w:keepLines/>
              <w:spacing w:after="0" w:line="240" w:lineRule="auto"/>
              <w:jc w:val="right"/>
            </w:pPr>
            <w:r>
              <w:rPr>
                <w:b/>
                <w:sz w:val="18"/>
              </w:rPr>
              <w:t>121,3</w:t>
            </w:r>
          </w:p>
        </w:tc>
      </w:tr>
    </w:tbl>
    <w:p w14:paraId="1F17D782" w14:textId="77777777" w:rsidR="00367E91" w:rsidRDefault="00367E91">
      <w:pPr>
        <w:spacing w:after="0"/>
      </w:pPr>
    </w:p>
    <w:p w14:paraId="70B35E3B" w14:textId="77777777" w:rsidR="00367E91" w:rsidRDefault="002B0324">
      <w:r>
        <w:t>U 2025. ostvareni su prihodi i rashodi po izvorima kako slijedi: </w:t>
      </w:r>
    </w:p>
    <w:p w14:paraId="2C32ECA1" w14:textId="77777777" w:rsidR="00367E91" w:rsidRDefault="002B0324">
      <w:r>
        <w:t>izvor 11 prihod 4.393.093,28 rashod 4.821.486,50 eura</w:t>
      </w:r>
    </w:p>
    <w:p w14:paraId="38ACA53F" w14:textId="77777777" w:rsidR="00367E91" w:rsidRDefault="002B0324">
      <w:r>
        <w:lastRenderedPageBreak/>
        <w:t>izvor 31 prihod 35.948,23 rashod 19.616,80 eura</w:t>
      </w:r>
    </w:p>
    <w:p w14:paraId="524C23AC" w14:textId="77777777" w:rsidR="00367E91" w:rsidRDefault="002B0324">
      <w:r>
        <w:t>izvor 43 prihod 1.026.363,09 rashod 1.072.612,40 eura</w:t>
      </w:r>
      <w:r>
        <w:br/>
      </w:r>
      <w:r>
        <w:br/>
        <w:t>izvor 51 prihod 35.822,87 rashod 30.768,87 eura</w:t>
      </w:r>
      <w:r>
        <w:br/>
        <w:t> </w:t>
      </w:r>
      <w:r>
        <w:br/>
        <w:t>izvor 52 prihod 89.192,72 rashod 80.336,98 eura </w:t>
      </w:r>
      <w:r>
        <w:br/>
      </w:r>
      <w:r>
        <w:t> </w:t>
      </w:r>
      <w:r>
        <w:br/>
        <w:t>izvor 61 prihod 2.900,00 rashod 2.900,00 eura</w:t>
      </w:r>
    </w:p>
    <w:p w14:paraId="4E0169C1" w14:textId="77777777" w:rsidR="00367E91" w:rsidRDefault="002B0324">
      <w:r>
        <w:t>Tekući rezultat je manjak prihoda poslovanja iz nekoliko razloga:</w:t>
      </w:r>
    </w:p>
    <w:p w14:paraId="2742FD03" w14:textId="77777777" w:rsidR="00367E91" w:rsidRDefault="002B0324">
      <w:r>
        <w:t>-sukladno zakonskim propisima u 2025. godini evidentirano je 13 rashoda za zaposlene, a za 12 smo dobili prihod iz MZOM i podmiren je iz tekuć</w:t>
      </w:r>
      <w:r>
        <w:t>ih prihoda . Iznos metodološkog manjka je 407.093,90 eura (rashodi za zaposlene iz izvora 11 za prosinac 2025. godine iznose 360.597,40 eura a iz ostalih izvora 46.496,56 eura);</w:t>
      </w:r>
    </w:p>
    <w:p w14:paraId="4FF12525" w14:textId="77777777" w:rsidR="00367E91" w:rsidRDefault="002B0324">
      <w:r>
        <w:t>-za potpisane programske ugovore za programsko financiranje u razdoblju listop</w:t>
      </w:r>
      <w:r>
        <w:t>ad-prosinac 2025. godine dobili smo samo sredstva za razvojnu komponentu. sredstva za pokriće rashoda osnovne komponente u iznosu 63.438,64 eura te izvedbene komponente u iznosu 8.350,00 eura nismo dobili iako je bilo planirano i definirano ugovorom;</w:t>
      </w:r>
    </w:p>
    <w:p w14:paraId="712ADA19" w14:textId="77777777" w:rsidR="00367E91" w:rsidRDefault="002B0324">
      <w:r>
        <w:t>-veći</w:t>
      </w:r>
      <w:r>
        <w:t xml:space="preserve"> iznos  prihoda je rezerviran za pokriće rashoda u 2026. godini;</w:t>
      </w:r>
    </w:p>
    <w:p w14:paraId="13FDF33C" w14:textId="77777777" w:rsidR="00367E91" w:rsidRDefault="002B0324">
      <w:r>
        <w:t>-prihodi ostvareni iz izvora 43 nisu bili dovoljni za pokriće ostvarenih rashoda iz istog izvora. U 2025. godini imali smo rashode povezane s proslavom 50. obljetnicu od osnutka pa je i to ut</w:t>
      </w:r>
      <w:r>
        <w:t>jecalo na rezultat iz izvora 43.   </w:t>
      </w:r>
    </w:p>
    <w:p w14:paraId="10690BE8" w14:textId="77777777" w:rsidR="00367E91" w:rsidRDefault="002B0324">
      <w:r>
        <w:t> </w:t>
      </w:r>
    </w:p>
    <w:p w14:paraId="28FA8538" w14:textId="77777777" w:rsidR="00367E91" w:rsidRDefault="002B0324">
      <w:r>
        <w:t>Preneseni višak prihoda nakon ispravaka iznosio je  535.886,09 eura. Uključivanjem tekućih viškova i manjkova, rezultat iznosi  133.683,15 viškaprihoda poslovanja i  42.198,42 eura manjka od nefinancijske imovine. Nako</w:t>
      </w:r>
      <w:r>
        <w:t>n obvezne korekcije  i prebijanja istovrsnih viškova i manjkova, višak prihoda poslovanja  iznosi 119.496,15 eura a manjak od nefinancijske imovine iznosi 28.011,42 eura. Sveukupno raspoloživa sredstva u idućem razdoblju iznose  91.484,73 eura.</w:t>
      </w:r>
    </w:p>
    <w:p w14:paraId="2DD58931" w14:textId="77777777" w:rsidR="00367E91" w:rsidRDefault="002B0324">
      <w:r>
        <w:t> </w:t>
      </w:r>
    </w:p>
    <w:p w14:paraId="73FCDA17" w14:textId="77777777" w:rsidR="00367E91" w:rsidRDefault="002B0324">
      <w:r>
        <w:t> </w:t>
      </w:r>
    </w:p>
    <w:p w14:paraId="46479486" w14:textId="77777777" w:rsidR="00367E91" w:rsidRDefault="002B0324">
      <w:r>
        <w:br/>
      </w:r>
    </w:p>
    <w:p w14:paraId="4319AF5F" w14:textId="77777777" w:rsidR="00367E91" w:rsidRDefault="002B0324">
      <w:pPr>
        <w:keepNext/>
        <w:spacing w:line="240" w:lineRule="auto"/>
        <w:jc w:val="center"/>
      </w:pPr>
      <w:r>
        <w:rPr>
          <w:sz w:val="28"/>
        </w:rPr>
        <w:lastRenderedPageBreak/>
        <w:t>Bilje</w:t>
      </w:r>
      <w:r>
        <w:rPr>
          <w:sz w:val="28"/>
        </w:rPr>
        <w:t>ška 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367E91" w14:paraId="08107E8D"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B69AF6B" w14:textId="77777777" w:rsidR="00367E91" w:rsidRDefault="002B0324">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307B88E5" w14:textId="77777777" w:rsidR="00367E91" w:rsidRDefault="002B0324">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E3F77AF" w14:textId="77777777" w:rsidR="00367E91" w:rsidRDefault="002B0324">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3DF3AC8" w14:textId="77777777" w:rsidR="00367E91" w:rsidRDefault="002B0324">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5DEEC11" w14:textId="77777777" w:rsidR="00367E91" w:rsidRDefault="002B0324">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41300C0" w14:textId="77777777" w:rsidR="00367E91" w:rsidRDefault="002B0324">
            <w:pPr>
              <w:keepNext/>
              <w:keepLines/>
              <w:spacing w:after="0" w:line="240" w:lineRule="auto"/>
              <w:jc w:val="center"/>
            </w:pPr>
            <w:r>
              <w:rPr>
                <w:b/>
                <w:sz w:val="18"/>
              </w:rPr>
              <w:t>Indeks (%)</w:t>
            </w:r>
          </w:p>
        </w:tc>
      </w:tr>
      <w:tr w:rsidR="00367E91" w14:paraId="54584AE8" w14:textId="77777777">
        <w:tblPrEx>
          <w:tblCellMar>
            <w:top w:w="0" w:type="dxa"/>
            <w:bottom w:w="0" w:type="dxa"/>
          </w:tblCellMar>
        </w:tblPrEx>
        <w:trPr>
          <w:cantSplit/>
          <w:trHeight w:val="560"/>
        </w:trPr>
        <w:tc>
          <w:tcPr>
            <w:tcW w:w="700" w:type="dxa"/>
            <w:tcMar>
              <w:top w:w="0" w:type="dxa"/>
              <w:bottom w:w="0" w:type="dxa"/>
            </w:tcMar>
            <w:vAlign w:val="center"/>
          </w:tcPr>
          <w:p w14:paraId="7BD38E8F" w14:textId="77777777" w:rsidR="00367E91" w:rsidRDefault="002B0324">
            <w:pPr>
              <w:keepNext/>
              <w:keepLines/>
              <w:spacing w:after="0" w:line="240" w:lineRule="auto"/>
            </w:pPr>
            <w:r>
              <w:rPr>
                <w:sz w:val="18"/>
              </w:rPr>
              <w:t>632</w:t>
            </w:r>
          </w:p>
        </w:tc>
        <w:tc>
          <w:tcPr>
            <w:tcW w:w="3180" w:type="dxa"/>
            <w:tcMar>
              <w:top w:w="0" w:type="dxa"/>
              <w:bottom w:w="0" w:type="dxa"/>
            </w:tcMar>
            <w:vAlign w:val="center"/>
          </w:tcPr>
          <w:p w14:paraId="7E10EBA6" w14:textId="77777777" w:rsidR="00367E91" w:rsidRDefault="002B0324">
            <w:pPr>
              <w:keepNext/>
              <w:keepLines/>
              <w:spacing w:after="0" w:line="240" w:lineRule="auto"/>
            </w:pPr>
            <w:r>
              <w:rPr>
                <w:sz w:val="18"/>
              </w:rPr>
              <w:t>Pomoći od međunarodnih organizacija te institucija i tijela EU (šifre 6321 do 6324)</w:t>
            </w:r>
          </w:p>
        </w:tc>
        <w:tc>
          <w:tcPr>
            <w:tcW w:w="700" w:type="dxa"/>
            <w:tcMar>
              <w:top w:w="0" w:type="dxa"/>
              <w:bottom w:w="0" w:type="dxa"/>
            </w:tcMar>
            <w:vAlign w:val="center"/>
          </w:tcPr>
          <w:p w14:paraId="6A2D2821" w14:textId="77777777" w:rsidR="00367E91" w:rsidRDefault="002B0324">
            <w:pPr>
              <w:keepNext/>
              <w:keepLines/>
              <w:spacing w:after="0" w:line="240" w:lineRule="auto"/>
            </w:pPr>
            <w:r>
              <w:rPr>
                <w:sz w:val="18"/>
              </w:rPr>
              <w:t>632</w:t>
            </w:r>
          </w:p>
        </w:tc>
        <w:tc>
          <w:tcPr>
            <w:tcW w:w="1860" w:type="dxa"/>
            <w:tcMar>
              <w:top w:w="0" w:type="dxa"/>
              <w:bottom w:w="0" w:type="dxa"/>
            </w:tcMar>
            <w:vAlign w:val="center"/>
          </w:tcPr>
          <w:p w14:paraId="61695852" w14:textId="77777777" w:rsidR="00367E91" w:rsidRDefault="002B0324">
            <w:pPr>
              <w:keepNext/>
              <w:keepLines/>
              <w:spacing w:after="0" w:line="240" w:lineRule="auto"/>
              <w:jc w:val="right"/>
            </w:pPr>
            <w:r>
              <w:rPr>
                <w:sz w:val="18"/>
              </w:rPr>
              <w:t>27.305,60</w:t>
            </w:r>
          </w:p>
        </w:tc>
        <w:tc>
          <w:tcPr>
            <w:tcW w:w="1860" w:type="dxa"/>
            <w:tcMar>
              <w:top w:w="0" w:type="dxa"/>
              <w:bottom w:w="0" w:type="dxa"/>
            </w:tcMar>
            <w:vAlign w:val="center"/>
          </w:tcPr>
          <w:p w14:paraId="216E35EE" w14:textId="77777777" w:rsidR="00367E91" w:rsidRDefault="002B0324">
            <w:pPr>
              <w:keepNext/>
              <w:keepLines/>
              <w:spacing w:after="0" w:line="240" w:lineRule="auto"/>
              <w:jc w:val="right"/>
            </w:pPr>
            <w:r>
              <w:rPr>
                <w:sz w:val="18"/>
              </w:rPr>
              <w:t>35.822,87</w:t>
            </w:r>
          </w:p>
        </w:tc>
        <w:tc>
          <w:tcPr>
            <w:tcW w:w="700" w:type="dxa"/>
            <w:tcMar>
              <w:top w:w="0" w:type="dxa"/>
              <w:bottom w:w="0" w:type="dxa"/>
            </w:tcMar>
            <w:vAlign w:val="center"/>
          </w:tcPr>
          <w:p w14:paraId="1C17B3C5" w14:textId="77777777" w:rsidR="00367E91" w:rsidRDefault="002B0324">
            <w:pPr>
              <w:keepNext/>
              <w:keepLines/>
              <w:spacing w:after="0" w:line="240" w:lineRule="auto"/>
              <w:jc w:val="right"/>
            </w:pPr>
            <w:r>
              <w:rPr>
                <w:sz w:val="18"/>
              </w:rPr>
              <w:t>131,2</w:t>
            </w:r>
          </w:p>
        </w:tc>
      </w:tr>
    </w:tbl>
    <w:p w14:paraId="5A3E84EA" w14:textId="77777777" w:rsidR="00367E91" w:rsidRDefault="00367E91">
      <w:pPr>
        <w:spacing w:after="0"/>
      </w:pPr>
    </w:p>
    <w:p w14:paraId="2B7DEEA9" w14:textId="77777777" w:rsidR="00367E91" w:rsidRDefault="002B0324">
      <w:r>
        <w:t>U 2024. godini primljena je akontacija „Towards Universal Parenthood in Europe – UNIPar“. U 2025. temeljem Uputa za računovodstveno evidentiranje sredstava Europske unije Ministarstva financija, za rashode  u 2025. godini koji se pokrivaju iz primljenog pr</w:t>
      </w:r>
      <w:r>
        <w:t xml:space="preserve">edujma priznati su prihodi i to za projekte „Towards Universal Parenthood in Europe – UNIPar“ Jean Monnet modul „European Union i Gender Equality – EUGEquality“  i  Jean Monnet modul „European support for children at risk of poverty – EU_SHINE“ . Početkom </w:t>
      </w:r>
      <w:r>
        <w:t>godine smo iznose neutrošenog predujma, temeljem propisa o evidenciji EU projekata, izdvojili iz viška prihoda poslovanja iz prethodnih godina i donijeli na primljeni predujam temeljem EU sredstava ; primljen ostatak projekta po završnom izvješću za projek</w:t>
      </w:r>
      <w:r>
        <w:t>t EU projekt  Jean Monnet “South and East European Competition Law Centar of Excellence“COE; na Projektu UNIPar nabvacljeno opreme u vrijednosti 1.552,50 eura.</w:t>
      </w:r>
    </w:p>
    <w:p w14:paraId="19398138" w14:textId="77777777" w:rsidR="00367E91" w:rsidRDefault="00367E91"/>
    <w:p w14:paraId="4E1F012F" w14:textId="77777777" w:rsidR="00367E91" w:rsidRDefault="002B0324">
      <w:pPr>
        <w:keepNext/>
        <w:spacing w:line="240" w:lineRule="auto"/>
        <w:jc w:val="center"/>
      </w:pPr>
      <w:r>
        <w:rPr>
          <w:sz w:val="28"/>
        </w:rPr>
        <w:t>Bilješka 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367E91" w14:paraId="3C2184F2"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67D38A0" w14:textId="77777777" w:rsidR="00367E91" w:rsidRDefault="002B0324">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5CF20FB7" w14:textId="77777777" w:rsidR="00367E91" w:rsidRDefault="002B0324">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D51C528" w14:textId="77777777" w:rsidR="00367E91" w:rsidRDefault="002B0324">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5057C07" w14:textId="77777777" w:rsidR="00367E91" w:rsidRDefault="002B0324">
            <w:pPr>
              <w:keepNext/>
              <w:keepLines/>
              <w:spacing w:after="0" w:line="240" w:lineRule="auto"/>
              <w:jc w:val="center"/>
            </w:pPr>
            <w:r>
              <w:rPr>
                <w:b/>
                <w:sz w:val="18"/>
              </w:rPr>
              <w:t xml:space="preserve">Ostvareno u izvještajnom razdoblju prethodne </w:t>
            </w:r>
            <w:r>
              <w:rPr>
                <w:b/>
                <w:sz w:val="18"/>
              </w:rPr>
              <w:t>godine</w:t>
            </w:r>
          </w:p>
        </w:tc>
        <w:tc>
          <w:tcPr>
            <w:tcW w:w="1860" w:type="dxa"/>
            <w:shd w:val="clear" w:color="auto" w:fill="E7F0F9"/>
            <w:tcMar>
              <w:top w:w="0" w:type="dxa"/>
              <w:bottom w:w="0" w:type="dxa"/>
            </w:tcMar>
            <w:vAlign w:val="center"/>
          </w:tcPr>
          <w:p w14:paraId="4E73F2FB" w14:textId="77777777" w:rsidR="00367E91" w:rsidRDefault="002B0324">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13D6A3D" w14:textId="77777777" w:rsidR="00367E91" w:rsidRDefault="002B0324">
            <w:pPr>
              <w:keepNext/>
              <w:keepLines/>
              <w:spacing w:after="0" w:line="240" w:lineRule="auto"/>
              <w:jc w:val="center"/>
            </w:pPr>
            <w:r>
              <w:rPr>
                <w:b/>
                <w:sz w:val="18"/>
              </w:rPr>
              <w:t>Indeks (%)</w:t>
            </w:r>
          </w:p>
        </w:tc>
      </w:tr>
      <w:tr w:rsidR="00367E91" w14:paraId="7FDB19B2" w14:textId="77777777">
        <w:tblPrEx>
          <w:tblCellMar>
            <w:top w:w="0" w:type="dxa"/>
            <w:bottom w:w="0" w:type="dxa"/>
          </w:tblCellMar>
        </w:tblPrEx>
        <w:trPr>
          <w:cantSplit/>
          <w:trHeight w:val="560"/>
        </w:trPr>
        <w:tc>
          <w:tcPr>
            <w:tcW w:w="700" w:type="dxa"/>
            <w:tcMar>
              <w:top w:w="0" w:type="dxa"/>
              <w:bottom w:w="0" w:type="dxa"/>
            </w:tcMar>
            <w:vAlign w:val="center"/>
          </w:tcPr>
          <w:p w14:paraId="6CF60922" w14:textId="77777777" w:rsidR="00367E91" w:rsidRDefault="002B0324">
            <w:pPr>
              <w:keepNext/>
              <w:keepLines/>
              <w:spacing w:after="0" w:line="240" w:lineRule="auto"/>
            </w:pPr>
            <w:r>
              <w:rPr>
                <w:sz w:val="18"/>
              </w:rPr>
              <w:t>6391</w:t>
            </w:r>
          </w:p>
        </w:tc>
        <w:tc>
          <w:tcPr>
            <w:tcW w:w="3180" w:type="dxa"/>
            <w:tcMar>
              <w:top w:w="0" w:type="dxa"/>
              <w:bottom w:w="0" w:type="dxa"/>
            </w:tcMar>
            <w:vAlign w:val="center"/>
          </w:tcPr>
          <w:p w14:paraId="35C959A9" w14:textId="77777777" w:rsidR="00367E91" w:rsidRDefault="002B0324">
            <w:pPr>
              <w:keepNext/>
              <w:keepLines/>
              <w:spacing w:after="0" w:line="240" w:lineRule="auto"/>
            </w:pPr>
            <w:r>
              <w:rPr>
                <w:sz w:val="18"/>
              </w:rPr>
              <w:t>Tekući prijenosi između proračunskih korisnika istog proračuna</w:t>
            </w:r>
          </w:p>
        </w:tc>
        <w:tc>
          <w:tcPr>
            <w:tcW w:w="700" w:type="dxa"/>
            <w:tcMar>
              <w:top w:w="0" w:type="dxa"/>
              <w:bottom w:w="0" w:type="dxa"/>
            </w:tcMar>
            <w:vAlign w:val="center"/>
          </w:tcPr>
          <w:p w14:paraId="08816910" w14:textId="77777777" w:rsidR="00367E91" w:rsidRDefault="002B0324">
            <w:pPr>
              <w:keepNext/>
              <w:keepLines/>
              <w:spacing w:after="0" w:line="240" w:lineRule="auto"/>
            </w:pPr>
            <w:r>
              <w:rPr>
                <w:sz w:val="18"/>
              </w:rPr>
              <w:t>6391</w:t>
            </w:r>
          </w:p>
        </w:tc>
        <w:tc>
          <w:tcPr>
            <w:tcW w:w="1860" w:type="dxa"/>
            <w:tcMar>
              <w:top w:w="0" w:type="dxa"/>
              <w:bottom w:w="0" w:type="dxa"/>
            </w:tcMar>
            <w:vAlign w:val="center"/>
          </w:tcPr>
          <w:p w14:paraId="67A834EC" w14:textId="77777777" w:rsidR="00367E91" w:rsidRDefault="002B0324">
            <w:pPr>
              <w:keepNext/>
              <w:keepLines/>
              <w:spacing w:after="0" w:line="240" w:lineRule="auto"/>
              <w:jc w:val="right"/>
            </w:pPr>
            <w:r>
              <w:rPr>
                <w:sz w:val="18"/>
              </w:rPr>
              <w:t>58.628,63</w:t>
            </w:r>
          </w:p>
        </w:tc>
        <w:tc>
          <w:tcPr>
            <w:tcW w:w="1860" w:type="dxa"/>
            <w:tcMar>
              <w:top w:w="0" w:type="dxa"/>
              <w:bottom w:w="0" w:type="dxa"/>
            </w:tcMar>
            <w:vAlign w:val="center"/>
          </w:tcPr>
          <w:p w14:paraId="3B031EB9" w14:textId="77777777" w:rsidR="00367E91" w:rsidRDefault="002B0324">
            <w:pPr>
              <w:keepNext/>
              <w:keepLines/>
              <w:spacing w:after="0" w:line="240" w:lineRule="auto"/>
              <w:jc w:val="right"/>
            </w:pPr>
            <w:r>
              <w:rPr>
                <w:sz w:val="18"/>
              </w:rPr>
              <w:t>50.409,12</w:t>
            </w:r>
          </w:p>
        </w:tc>
        <w:tc>
          <w:tcPr>
            <w:tcW w:w="700" w:type="dxa"/>
            <w:tcMar>
              <w:top w:w="0" w:type="dxa"/>
              <w:bottom w:w="0" w:type="dxa"/>
            </w:tcMar>
            <w:vAlign w:val="center"/>
          </w:tcPr>
          <w:p w14:paraId="01BE62A6" w14:textId="77777777" w:rsidR="00367E91" w:rsidRDefault="002B0324">
            <w:pPr>
              <w:keepNext/>
              <w:keepLines/>
              <w:spacing w:after="0" w:line="240" w:lineRule="auto"/>
              <w:jc w:val="right"/>
            </w:pPr>
            <w:r>
              <w:rPr>
                <w:sz w:val="18"/>
              </w:rPr>
              <w:t>86,0</w:t>
            </w:r>
          </w:p>
        </w:tc>
      </w:tr>
    </w:tbl>
    <w:p w14:paraId="1375C5FE" w14:textId="77777777" w:rsidR="00367E91" w:rsidRDefault="00367E91">
      <w:pPr>
        <w:spacing w:after="0"/>
      </w:pPr>
    </w:p>
    <w:p w14:paraId="28396349" w14:textId="77777777" w:rsidR="00367E91" w:rsidRDefault="002B0324">
      <w:r>
        <w:t>Prihod za pokriće troškova aktivnosti u 2025. godini za projekt Pravna klinika  „OSIJEK PRO BONO“ u suradnji s Ministarstvom pravosuđa Republike Hrvatske iz natječaja Ministarstva pravosuđa za financiranje projekata ovlaštenih udruga i pravnih klinika za p</w:t>
      </w:r>
      <w:r>
        <w:t>ružanje primarne pravne pomoći pod nazivom „Afirmacija hrvatskog sustava besplatne pravne pomoći i Pravne klinike OSIJEK PRO BONO posredstvom pružanja općih pravnih informacija i pravnih savjeta u Osijeku i odabranim naseljima na području Osječko-baranjske</w:t>
      </w:r>
      <w:r>
        <w:t xml:space="preserve"> županije“ (12.083,98 eura tj. primljeno je 6.374,60 eura ali neutrošeni dio 4.290,62 eura  po odobrenju Izvješća bit će vraćeno u Proračun). Od Ministarstva znanosti, obrazovanja i mladih primljena su sredstva za projekt MZOM za financijsku potporu za otk</w:t>
      </w:r>
      <w:r>
        <w:t xml:space="preserve">up znanstvenih knjiga i visokoškolskih udžbenika u iznosu 1.294,00 eura; prihodi od  Hrvatske zaklade za znanost (25.434,43 eura) za pokriće rashoda na projektu „Projekt razvoja karijera mladih istraživača-izobrazba novih doktora znanosti, koji je završio </w:t>
      </w:r>
      <w:r>
        <w:t>u listopadu 2025. godine; Primljena su sredstva na ime ugovora s Ministarstvom demografije i useljeništva RH kroz financijsku potporu projektu Hrvatsko-kanadski  gospodarsko znanstveni klaster u iznosu 11.500,00 eura.</w:t>
      </w:r>
    </w:p>
    <w:p w14:paraId="3CA2C255" w14:textId="77777777" w:rsidR="00367E91" w:rsidRDefault="00367E91"/>
    <w:p w14:paraId="4B06166A" w14:textId="77777777" w:rsidR="00367E91" w:rsidRDefault="002B0324">
      <w:pPr>
        <w:keepNext/>
        <w:spacing w:line="240" w:lineRule="auto"/>
        <w:jc w:val="center"/>
      </w:pPr>
      <w:r>
        <w:rPr>
          <w:sz w:val="28"/>
        </w:rPr>
        <w:lastRenderedPageBreak/>
        <w:t>Bilješka 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367E91" w14:paraId="6B88F46A"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396AAB0" w14:textId="77777777" w:rsidR="00367E91" w:rsidRDefault="002B0324">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061EF509" w14:textId="77777777" w:rsidR="00367E91" w:rsidRDefault="002B0324">
            <w:pPr>
              <w:keepNext/>
              <w:keepLines/>
              <w:spacing w:after="0" w:line="240" w:lineRule="auto"/>
              <w:jc w:val="center"/>
            </w:pPr>
            <w:r>
              <w:rPr>
                <w:b/>
                <w:sz w:val="18"/>
              </w:rPr>
              <w:t xml:space="preserve">Opis </w:t>
            </w:r>
            <w:r>
              <w:rPr>
                <w:b/>
                <w:sz w:val="18"/>
              </w:rPr>
              <w:t>stavke</w:t>
            </w:r>
          </w:p>
        </w:tc>
        <w:tc>
          <w:tcPr>
            <w:tcW w:w="700" w:type="dxa"/>
            <w:shd w:val="clear" w:color="auto" w:fill="E7F0F9"/>
            <w:tcMar>
              <w:top w:w="0" w:type="dxa"/>
              <w:bottom w:w="0" w:type="dxa"/>
            </w:tcMar>
            <w:vAlign w:val="center"/>
          </w:tcPr>
          <w:p w14:paraId="6CAB1E9A" w14:textId="77777777" w:rsidR="00367E91" w:rsidRDefault="002B0324">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BC1ECF5" w14:textId="77777777" w:rsidR="00367E91" w:rsidRDefault="002B0324">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9AC6C50" w14:textId="77777777" w:rsidR="00367E91" w:rsidRDefault="002B0324">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46C415E6" w14:textId="77777777" w:rsidR="00367E91" w:rsidRDefault="002B0324">
            <w:pPr>
              <w:keepNext/>
              <w:keepLines/>
              <w:spacing w:after="0" w:line="240" w:lineRule="auto"/>
              <w:jc w:val="center"/>
            </w:pPr>
            <w:r>
              <w:rPr>
                <w:b/>
                <w:sz w:val="18"/>
              </w:rPr>
              <w:t>Indeks (%)</w:t>
            </w:r>
          </w:p>
        </w:tc>
      </w:tr>
      <w:tr w:rsidR="00367E91" w14:paraId="59C7BF6C" w14:textId="77777777">
        <w:tblPrEx>
          <w:tblCellMar>
            <w:top w:w="0" w:type="dxa"/>
            <w:bottom w:w="0" w:type="dxa"/>
          </w:tblCellMar>
        </w:tblPrEx>
        <w:trPr>
          <w:cantSplit/>
          <w:trHeight w:val="560"/>
        </w:trPr>
        <w:tc>
          <w:tcPr>
            <w:tcW w:w="700" w:type="dxa"/>
            <w:tcMar>
              <w:top w:w="0" w:type="dxa"/>
              <w:bottom w:w="0" w:type="dxa"/>
            </w:tcMar>
            <w:vAlign w:val="center"/>
          </w:tcPr>
          <w:p w14:paraId="00157AE0" w14:textId="77777777" w:rsidR="00367E91" w:rsidRDefault="002B0324">
            <w:pPr>
              <w:keepNext/>
              <w:keepLines/>
              <w:spacing w:after="0" w:line="240" w:lineRule="auto"/>
            </w:pPr>
            <w:r>
              <w:rPr>
                <w:sz w:val="18"/>
              </w:rPr>
              <w:t>6393</w:t>
            </w:r>
          </w:p>
        </w:tc>
        <w:tc>
          <w:tcPr>
            <w:tcW w:w="3180" w:type="dxa"/>
            <w:tcMar>
              <w:top w:w="0" w:type="dxa"/>
              <w:bottom w:w="0" w:type="dxa"/>
            </w:tcMar>
            <w:vAlign w:val="center"/>
          </w:tcPr>
          <w:p w14:paraId="53179A4C" w14:textId="77777777" w:rsidR="00367E91" w:rsidRDefault="002B0324">
            <w:pPr>
              <w:keepNext/>
              <w:keepLines/>
              <w:spacing w:after="0" w:line="240" w:lineRule="auto"/>
            </w:pPr>
            <w:r>
              <w:rPr>
                <w:sz w:val="18"/>
              </w:rPr>
              <w:t>Tekući prijenosi između proračunskih korisnika istog proračuna temeljem prijenosa EU sredstava</w:t>
            </w:r>
          </w:p>
        </w:tc>
        <w:tc>
          <w:tcPr>
            <w:tcW w:w="700" w:type="dxa"/>
            <w:tcMar>
              <w:top w:w="0" w:type="dxa"/>
              <w:bottom w:w="0" w:type="dxa"/>
            </w:tcMar>
            <w:vAlign w:val="center"/>
          </w:tcPr>
          <w:p w14:paraId="4B8734EB" w14:textId="77777777" w:rsidR="00367E91" w:rsidRDefault="002B0324">
            <w:pPr>
              <w:keepNext/>
              <w:keepLines/>
              <w:spacing w:after="0" w:line="240" w:lineRule="auto"/>
            </w:pPr>
            <w:r>
              <w:rPr>
                <w:sz w:val="18"/>
              </w:rPr>
              <w:t>6393</w:t>
            </w:r>
          </w:p>
        </w:tc>
        <w:tc>
          <w:tcPr>
            <w:tcW w:w="1860" w:type="dxa"/>
            <w:tcMar>
              <w:top w:w="0" w:type="dxa"/>
              <w:bottom w:w="0" w:type="dxa"/>
            </w:tcMar>
            <w:vAlign w:val="center"/>
          </w:tcPr>
          <w:p w14:paraId="1D0604A6" w14:textId="77777777" w:rsidR="00367E91" w:rsidRDefault="002B0324">
            <w:pPr>
              <w:keepNext/>
              <w:keepLines/>
              <w:spacing w:after="0" w:line="240" w:lineRule="auto"/>
              <w:jc w:val="right"/>
            </w:pPr>
            <w:r>
              <w:rPr>
                <w:sz w:val="18"/>
              </w:rPr>
              <w:t>54.646,30</w:t>
            </w:r>
          </w:p>
        </w:tc>
        <w:tc>
          <w:tcPr>
            <w:tcW w:w="1860" w:type="dxa"/>
            <w:tcMar>
              <w:top w:w="0" w:type="dxa"/>
              <w:bottom w:w="0" w:type="dxa"/>
            </w:tcMar>
            <w:vAlign w:val="center"/>
          </w:tcPr>
          <w:p w14:paraId="0AED0FA7" w14:textId="77777777" w:rsidR="00367E91" w:rsidRDefault="002B0324">
            <w:pPr>
              <w:keepNext/>
              <w:keepLines/>
              <w:spacing w:after="0" w:line="240" w:lineRule="auto"/>
              <w:jc w:val="right"/>
            </w:pPr>
            <w:r>
              <w:rPr>
                <w:sz w:val="18"/>
              </w:rPr>
              <w:t>38.683,60</w:t>
            </w:r>
          </w:p>
        </w:tc>
        <w:tc>
          <w:tcPr>
            <w:tcW w:w="700" w:type="dxa"/>
            <w:tcMar>
              <w:top w:w="0" w:type="dxa"/>
              <w:bottom w:w="0" w:type="dxa"/>
            </w:tcMar>
            <w:vAlign w:val="center"/>
          </w:tcPr>
          <w:p w14:paraId="437E27C0" w14:textId="77777777" w:rsidR="00367E91" w:rsidRDefault="002B0324">
            <w:pPr>
              <w:keepNext/>
              <w:keepLines/>
              <w:spacing w:after="0" w:line="240" w:lineRule="auto"/>
              <w:jc w:val="right"/>
            </w:pPr>
            <w:r>
              <w:rPr>
                <w:sz w:val="18"/>
              </w:rPr>
              <w:t>70,8</w:t>
            </w:r>
          </w:p>
        </w:tc>
      </w:tr>
    </w:tbl>
    <w:p w14:paraId="5F0787CC" w14:textId="77777777" w:rsidR="00367E91" w:rsidRDefault="00367E91">
      <w:pPr>
        <w:spacing w:after="0"/>
      </w:pPr>
    </w:p>
    <w:p w14:paraId="3EF176B9" w14:textId="77777777" w:rsidR="00367E91" w:rsidRDefault="002B0324">
      <w:r>
        <w:t>smanjeni  je broj mobilnosti (ne)nastavnog osoblja  putem Erasmus+ programa u odnosu na 2022. godinu. </w:t>
      </w:r>
    </w:p>
    <w:p w14:paraId="50647A56" w14:textId="77777777" w:rsidR="00367E91" w:rsidRDefault="00367E91"/>
    <w:p w14:paraId="39B61AFF" w14:textId="77777777" w:rsidR="00367E91" w:rsidRDefault="002B0324">
      <w:pPr>
        <w:keepNext/>
        <w:spacing w:line="240" w:lineRule="auto"/>
        <w:jc w:val="center"/>
      </w:pPr>
      <w:r>
        <w:rPr>
          <w:sz w:val="28"/>
        </w:rPr>
        <w:t>Bilješka 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367E91" w14:paraId="4AC35767"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A3675BE" w14:textId="77777777" w:rsidR="00367E91" w:rsidRDefault="002B0324">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364FA9FA" w14:textId="77777777" w:rsidR="00367E91" w:rsidRDefault="002B0324">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938BF40" w14:textId="77777777" w:rsidR="00367E91" w:rsidRDefault="002B0324">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10DD584" w14:textId="77777777" w:rsidR="00367E91" w:rsidRDefault="002B0324">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AC4E593" w14:textId="77777777" w:rsidR="00367E91" w:rsidRDefault="002B0324">
            <w:pPr>
              <w:keepNext/>
              <w:keepLines/>
              <w:spacing w:after="0" w:line="240" w:lineRule="auto"/>
              <w:jc w:val="center"/>
            </w:pPr>
            <w:r>
              <w:rPr>
                <w:b/>
                <w:sz w:val="18"/>
              </w:rPr>
              <w:t xml:space="preserve">Ostvareno u </w:t>
            </w:r>
            <w:r>
              <w:rPr>
                <w:b/>
                <w:sz w:val="18"/>
              </w:rPr>
              <w:t>izvještajnom razdoblju tekuće godine</w:t>
            </w:r>
          </w:p>
        </w:tc>
        <w:tc>
          <w:tcPr>
            <w:tcW w:w="700" w:type="dxa"/>
            <w:shd w:val="clear" w:color="auto" w:fill="E7F0F9"/>
            <w:tcMar>
              <w:top w:w="0" w:type="dxa"/>
              <w:bottom w:w="0" w:type="dxa"/>
            </w:tcMar>
            <w:vAlign w:val="center"/>
          </w:tcPr>
          <w:p w14:paraId="3EA7E9DB" w14:textId="77777777" w:rsidR="00367E91" w:rsidRDefault="002B0324">
            <w:pPr>
              <w:keepNext/>
              <w:keepLines/>
              <w:spacing w:after="0" w:line="240" w:lineRule="auto"/>
              <w:jc w:val="center"/>
            </w:pPr>
            <w:r>
              <w:rPr>
                <w:b/>
                <w:sz w:val="18"/>
              </w:rPr>
              <w:t>Indeks (%)</w:t>
            </w:r>
          </w:p>
        </w:tc>
      </w:tr>
      <w:tr w:rsidR="00367E91" w14:paraId="3289482A" w14:textId="77777777">
        <w:tblPrEx>
          <w:tblCellMar>
            <w:top w:w="0" w:type="dxa"/>
            <w:bottom w:w="0" w:type="dxa"/>
          </w:tblCellMar>
        </w:tblPrEx>
        <w:trPr>
          <w:cantSplit/>
          <w:trHeight w:val="560"/>
        </w:trPr>
        <w:tc>
          <w:tcPr>
            <w:tcW w:w="700" w:type="dxa"/>
            <w:tcMar>
              <w:top w:w="0" w:type="dxa"/>
              <w:bottom w:w="0" w:type="dxa"/>
            </w:tcMar>
            <w:vAlign w:val="center"/>
          </w:tcPr>
          <w:p w14:paraId="42FCEEAC" w14:textId="77777777" w:rsidR="00367E91" w:rsidRDefault="002B0324">
            <w:pPr>
              <w:keepNext/>
              <w:keepLines/>
              <w:spacing w:after="0" w:line="240" w:lineRule="auto"/>
            </w:pPr>
            <w:r>
              <w:rPr>
                <w:sz w:val="18"/>
              </w:rPr>
              <w:t>64</w:t>
            </w:r>
          </w:p>
        </w:tc>
        <w:tc>
          <w:tcPr>
            <w:tcW w:w="3180" w:type="dxa"/>
            <w:tcMar>
              <w:top w:w="0" w:type="dxa"/>
              <w:bottom w:w="0" w:type="dxa"/>
            </w:tcMar>
            <w:vAlign w:val="center"/>
          </w:tcPr>
          <w:p w14:paraId="7C5D17AB" w14:textId="77777777" w:rsidR="00367E91" w:rsidRDefault="002B0324">
            <w:pPr>
              <w:keepNext/>
              <w:keepLines/>
              <w:spacing w:after="0" w:line="240" w:lineRule="auto"/>
            </w:pPr>
            <w:r>
              <w:rPr>
                <w:sz w:val="18"/>
              </w:rPr>
              <w:t>Prihodi od imovine (šifre 641+642+643)</w:t>
            </w:r>
          </w:p>
        </w:tc>
        <w:tc>
          <w:tcPr>
            <w:tcW w:w="700" w:type="dxa"/>
            <w:tcMar>
              <w:top w:w="0" w:type="dxa"/>
              <w:bottom w:w="0" w:type="dxa"/>
            </w:tcMar>
            <w:vAlign w:val="center"/>
          </w:tcPr>
          <w:p w14:paraId="1A61FD80" w14:textId="77777777" w:rsidR="00367E91" w:rsidRDefault="002B0324">
            <w:pPr>
              <w:keepNext/>
              <w:keepLines/>
              <w:spacing w:after="0" w:line="240" w:lineRule="auto"/>
            </w:pPr>
            <w:r>
              <w:rPr>
                <w:sz w:val="18"/>
              </w:rPr>
              <w:t>64</w:t>
            </w:r>
          </w:p>
        </w:tc>
        <w:tc>
          <w:tcPr>
            <w:tcW w:w="1860" w:type="dxa"/>
            <w:tcMar>
              <w:top w:w="0" w:type="dxa"/>
              <w:bottom w:w="0" w:type="dxa"/>
            </w:tcMar>
            <w:vAlign w:val="center"/>
          </w:tcPr>
          <w:p w14:paraId="3C46CD13" w14:textId="77777777" w:rsidR="00367E91" w:rsidRDefault="002B0324">
            <w:pPr>
              <w:keepNext/>
              <w:keepLines/>
              <w:spacing w:after="0" w:line="240" w:lineRule="auto"/>
              <w:jc w:val="right"/>
            </w:pPr>
            <w:r>
              <w:rPr>
                <w:sz w:val="18"/>
              </w:rPr>
              <w:t>1.005,97</w:t>
            </w:r>
          </w:p>
        </w:tc>
        <w:tc>
          <w:tcPr>
            <w:tcW w:w="1860" w:type="dxa"/>
            <w:tcMar>
              <w:top w:w="0" w:type="dxa"/>
              <w:bottom w:w="0" w:type="dxa"/>
            </w:tcMar>
            <w:vAlign w:val="center"/>
          </w:tcPr>
          <w:p w14:paraId="033626E0" w14:textId="77777777" w:rsidR="00367E91" w:rsidRDefault="002B0324">
            <w:pPr>
              <w:keepNext/>
              <w:keepLines/>
              <w:spacing w:after="0" w:line="240" w:lineRule="auto"/>
              <w:jc w:val="right"/>
            </w:pPr>
            <w:r>
              <w:rPr>
                <w:sz w:val="18"/>
              </w:rPr>
              <w:t>257,93</w:t>
            </w:r>
          </w:p>
        </w:tc>
        <w:tc>
          <w:tcPr>
            <w:tcW w:w="700" w:type="dxa"/>
            <w:tcMar>
              <w:top w:w="0" w:type="dxa"/>
              <w:bottom w:w="0" w:type="dxa"/>
            </w:tcMar>
            <w:vAlign w:val="center"/>
          </w:tcPr>
          <w:p w14:paraId="4F7E121A" w14:textId="77777777" w:rsidR="00367E91" w:rsidRDefault="002B0324">
            <w:pPr>
              <w:keepNext/>
              <w:keepLines/>
              <w:spacing w:after="0" w:line="240" w:lineRule="auto"/>
              <w:jc w:val="right"/>
            </w:pPr>
            <w:r>
              <w:rPr>
                <w:sz w:val="18"/>
              </w:rPr>
              <w:t>25,6</w:t>
            </w:r>
          </w:p>
        </w:tc>
      </w:tr>
    </w:tbl>
    <w:p w14:paraId="57A24022" w14:textId="77777777" w:rsidR="00367E91" w:rsidRDefault="00367E91">
      <w:pPr>
        <w:spacing w:after="0"/>
      </w:pPr>
    </w:p>
    <w:p w14:paraId="06834022" w14:textId="77777777" w:rsidR="00367E91" w:rsidRDefault="002B0324">
      <w:r>
        <w:t>u 2024. bile više kamatne stope na depozite po viđenju i veći i više sredstava na računu  u poslovnoj banci što je utjecalo na povećanje prihoda od kamata na novčana sredstva Fakulteta na redovitom žiro računu.</w:t>
      </w:r>
    </w:p>
    <w:p w14:paraId="743FFB6A" w14:textId="77777777" w:rsidR="00367E91" w:rsidRDefault="00367E91"/>
    <w:p w14:paraId="559D1202" w14:textId="77777777" w:rsidR="00367E91" w:rsidRDefault="002B0324">
      <w:pPr>
        <w:keepNext/>
        <w:spacing w:line="240" w:lineRule="auto"/>
        <w:jc w:val="center"/>
      </w:pPr>
      <w:r>
        <w:rPr>
          <w:sz w:val="28"/>
        </w:rPr>
        <w:t>Bilješka 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367E91" w14:paraId="3F13FB5C"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5C8C45A" w14:textId="77777777" w:rsidR="00367E91" w:rsidRDefault="002B0324">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02215A36" w14:textId="77777777" w:rsidR="00367E91" w:rsidRDefault="002B0324">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48E6EDB" w14:textId="77777777" w:rsidR="00367E91" w:rsidRDefault="002B0324">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73FABF6" w14:textId="77777777" w:rsidR="00367E91" w:rsidRDefault="002B0324">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0B4FC7E" w14:textId="77777777" w:rsidR="00367E91" w:rsidRDefault="002B0324">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A475EFE" w14:textId="77777777" w:rsidR="00367E91" w:rsidRDefault="002B0324">
            <w:pPr>
              <w:keepNext/>
              <w:keepLines/>
              <w:spacing w:after="0" w:line="240" w:lineRule="auto"/>
              <w:jc w:val="center"/>
            </w:pPr>
            <w:r>
              <w:rPr>
                <w:b/>
                <w:sz w:val="18"/>
              </w:rPr>
              <w:t>Indeks (%)</w:t>
            </w:r>
          </w:p>
        </w:tc>
      </w:tr>
      <w:tr w:rsidR="00367E91" w14:paraId="3664A75D" w14:textId="77777777">
        <w:tblPrEx>
          <w:tblCellMar>
            <w:top w:w="0" w:type="dxa"/>
            <w:bottom w:w="0" w:type="dxa"/>
          </w:tblCellMar>
        </w:tblPrEx>
        <w:trPr>
          <w:cantSplit/>
          <w:trHeight w:val="560"/>
        </w:trPr>
        <w:tc>
          <w:tcPr>
            <w:tcW w:w="700" w:type="dxa"/>
            <w:tcMar>
              <w:top w:w="0" w:type="dxa"/>
              <w:bottom w:w="0" w:type="dxa"/>
            </w:tcMar>
            <w:vAlign w:val="center"/>
          </w:tcPr>
          <w:p w14:paraId="7C9EBE07" w14:textId="77777777" w:rsidR="00367E91" w:rsidRDefault="002B0324">
            <w:pPr>
              <w:keepNext/>
              <w:keepLines/>
              <w:spacing w:after="0" w:line="240" w:lineRule="auto"/>
            </w:pPr>
            <w:r>
              <w:rPr>
                <w:sz w:val="18"/>
              </w:rPr>
              <w:t>6614</w:t>
            </w:r>
          </w:p>
        </w:tc>
        <w:tc>
          <w:tcPr>
            <w:tcW w:w="3180" w:type="dxa"/>
            <w:tcMar>
              <w:top w:w="0" w:type="dxa"/>
              <w:bottom w:w="0" w:type="dxa"/>
            </w:tcMar>
            <w:vAlign w:val="center"/>
          </w:tcPr>
          <w:p w14:paraId="70ED08ED" w14:textId="77777777" w:rsidR="00367E91" w:rsidRDefault="002B0324">
            <w:pPr>
              <w:keepNext/>
              <w:keepLines/>
              <w:spacing w:after="0" w:line="240" w:lineRule="auto"/>
            </w:pPr>
            <w:r>
              <w:rPr>
                <w:sz w:val="18"/>
              </w:rPr>
              <w:t>Prihodi od prodaje proizvoda i robe</w:t>
            </w:r>
          </w:p>
        </w:tc>
        <w:tc>
          <w:tcPr>
            <w:tcW w:w="700" w:type="dxa"/>
            <w:tcMar>
              <w:top w:w="0" w:type="dxa"/>
              <w:bottom w:w="0" w:type="dxa"/>
            </w:tcMar>
            <w:vAlign w:val="center"/>
          </w:tcPr>
          <w:p w14:paraId="507C6C00" w14:textId="77777777" w:rsidR="00367E91" w:rsidRDefault="002B0324">
            <w:pPr>
              <w:keepNext/>
              <w:keepLines/>
              <w:spacing w:after="0" w:line="240" w:lineRule="auto"/>
            </w:pPr>
            <w:r>
              <w:rPr>
                <w:sz w:val="18"/>
              </w:rPr>
              <w:t>6614</w:t>
            </w:r>
          </w:p>
        </w:tc>
        <w:tc>
          <w:tcPr>
            <w:tcW w:w="1860" w:type="dxa"/>
            <w:tcMar>
              <w:top w:w="0" w:type="dxa"/>
              <w:bottom w:w="0" w:type="dxa"/>
            </w:tcMar>
            <w:vAlign w:val="center"/>
          </w:tcPr>
          <w:p w14:paraId="5048183C" w14:textId="77777777" w:rsidR="00367E91" w:rsidRDefault="002B0324">
            <w:pPr>
              <w:keepNext/>
              <w:keepLines/>
              <w:spacing w:after="0" w:line="240" w:lineRule="auto"/>
              <w:jc w:val="right"/>
            </w:pPr>
            <w:r>
              <w:rPr>
                <w:sz w:val="18"/>
              </w:rPr>
              <w:t>2.562,24</w:t>
            </w:r>
          </w:p>
        </w:tc>
        <w:tc>
          <w:tcPr>
            <w:tcW w:w="1860" w:type="dxa"/>
            <w:tcMar>
              <w:top w:w="0" w:type="dxa"/>
              <w:bottom w:w="0" w:type="dxa"/>
            </w:tcMar>
            <w:vAlign w:val="center"/>
          </w:tcPr>
          <w:p w14:paraId="78D6A6A3" w14:textId="77777777" w:rsidR="00367E91" w:rsidRDefault="002B0324">
            <w:pPr>
              <w:keepNext/>
              <w:keepLines/>
              <w:spacing w:after="0" w:line="240" w:lineRule="auto"/>
              <w:jc w:val="right"/>
            </w:pPr>
            <w:r>
              <w:rPr>
                <w:sz w:val="18"/>
              </w:rPr>
              <w:t>4.163,26</w:t>
            </w:r>
          </w:p>
        </w:tc>
        <w:tc>
          <w:tcPr>
            <w:tcW w:w="700" w:type="dxa"/>
            <w:tcMar>
              <w:top w:w="0" w:type="dxa"/>
              <w:bottom w:w="0" w:type="dxa"/>
            </w:tcMar>
            <w:vAlign w:val="center"/>
          </w:tcPr>
          <w:p w14:paraId="5DC3AA2F" w14:textId="77777777" w:rsidR="00367E91" w:rsidRDefault="002B0324">
            <w:pPr>
              <w:keepNext/>
              <w:keepLines/>
              <w:spacing w:after="0" w:line="240" w:lineRule="auto"/>
              <w:jc w:val="right"/>
            </w:pPr>
            <w:r>
              <w:rPr>
                <w:sz w:val="18"/>
              </w:rPr>
              <w:t>162,5</w:t>
            </w:r>
          </w:p>
        </w:tc>
      </w:tr>
    </w:tbl>
    <w:p w14:paraId="4E756FE7" w14:textId="77777777" w:rsidR="00367E91" w:rsidRDefault="00367E91">
      <w:pPr>
        <w:spacing w:after="0"/>
      </w:pPr>
    </w:p>
    <w:p w14:paraId="0A52D7F3" w14:textId="77777777" w:rsidR="00367E91" w:rsidRDefault="002B0324">
      <w:r>
        <w:t>U 2025. godini veći  broj  prodanih naslova i proizvoda u odnosu na 2024. </w:t>
      </w:r>
    </w:p>
    <w:p w14:paraId="27332F64" w14:textId="77777777" w:rsidR="00367E91" w:rsidRDefault="00367E91"/>
    <w:p w14:paraId="71ADC5F3" w14:textId="77777777" w:rsidR="00367E91" w:rsidRDefault="002B0324">
      <w:pPr>
        <w:keepNext/>
        <w:spacing w:line="240" w:lineRule="auto"/>
        <w:jc w:val="center"/>
      </w:pPr>
      <w:r>
        <w:rPr>
          <w:sz w:val="28"/>
        </w:rPr>
        <w:t>Bilješka 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367E91" w14:paraId="01E11914"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28FE514" w14:textId="77777777" w:rsidR="00367E91" w:rsidRDefault="002B0324">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5553F606" w14:textId="77777777" w:rsidR="00367E91" w:rsidRDefault="002B0324">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1122225" w14:textId="77777777" w:rsidR="00367E91" w:rsidRDefault="002B0324">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FB4905F" w14:textId="77777777" w:rsidR="00367E91" w:rsidRDefault="002B0324">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D138FC9" w14:textId="77777777" w:rsidR="00367E91" w:rsidRDefault="002B0324">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27FF4DB" w14:textId="77777777" w:rsidR="00367E91" w:rsidRDefault="002B0324">
            <w:pPr>
              <w:keepNext/>
              <w:keepLines/>
              <w:spacing w:after="0" w:line="240" w:lineRule="auto"/>
              <w:jc w:val="center"/>
            </w:pPr>
            <w:r>
              <w:rPr>
                <w:b/>
                <w:sz w:val="18"/>
              </w:rPr>
              <w:t>Indeks (%)</w:t>
            </w:r>
          </w:p>
        </w:tc>
      </w:tr>
      <w:tr w:rsidR="00367E91" w14:paraId="6B6AE0FA" w14:textId="77777777">
        <w:tblPrEx>
          <w:tblCellMar>
            <w:top w:w="0" w:type="dxa"/>
            <w:bottom w:w="0" w:type="dxa"/>
          </w:tblCellMar>
        </w:tblPrEx>
        <w:trPr>
          <w:cantSplit/>
          <w:trHeight w:val="560"/>
        </w:trPr>
        <w:tc>
          <w:tcPr>
            <w:tcW w:w="700" w:type="dxa"/>
            <w:tcMar>
              <w:top w:w="0" w:type="dxa"/>
              <w:bottom w:w="0" w:type="dxa"/>
            </w:tcMar>
            <w:vAlign w:val="center"/>
          </w:tcPr>
          <w:p w14:paraId="338BCB7E" w14:textId="77777777" w:rsidR="00367E91" w:rsidRDefault="002B0324">
            <w:pPr>
              <w:keepNext/>
              <w:keepLines/>
              <w:spacing w:after="0" w:line="240" w:lineRule="auto"/>
            </w:pPr>
            <w:r>
              <w:rPr>
                <w:sz w:val="18"/>
              </w:rPr>
              <w:t>6631</w:t>
            </w:r>
          </w:p>
        </w:tc>
        <w:tc>
          <w:tcPr>
            <w:tcW w:w="3180" w:type="dxa"/>
            <w:tcMar>
              <w:top w:w="0" w:type="dxa"/>
              <w:bottom w:w="0" w:type="dxa"/>
            </w:tcMar>
            <w:vAlign w:val="center"/>
          </w:tcPr>
          <w:p w14:paraId="150A663B" w14:textId="77777777" w:rsidR="00367E91" w:rsidRDefault="002B0324">
            <w:pPr>
              <w:keepNext/>
              <w:keepLines/>
              <w:spacing w:after="0" w:line="240" w:lineRule="auto"/>
            </w:pPr>
            <w:r>
              <w:rPr>
                <w:sz w:val="18"/>
              </w:rPr>
              <w:t xml:space="preserve">Tekuće </w:t>
            </w:r>
            <w:r>
              <w:rPr>
                <w:sz w:val="18"/>
              </w:rPr>
              <w:t>donacije</w:t>
            </w:r>
          </w:p>
        </w:tc>
        <w:tc>
          <w:tcPr>
            <w:tcW w:w="700" w:type="dxa"/>
            <w:tcMar>
              <w:top w:w="0" w:type="dxa"/>
              <w:bottom w:w="0" w:type="dxa"/>
            </w:tcMar>
            <w:vAlign w:val="center"/>
          </w:tcPr>
          <w:p w14:paraId="4B009FE1" w14:textId="77777777" w:rsidR="00367E91" w:rsidRDefault="002B0324">
            <w:pPr>
              <w:keepNext/>
              <w:keepLines/>
              <w:spacing w:after="0" w:line="240" w:lineRule="auto"/>
            </w:pPr>
            <w:r>
              <w:rPr>
                <w:sz w:val="18"/>
              </w:rPr>
              <w:t>6631</w:t>
            </w:r>
          </w:p>
        </w:tc>
        <w:tc>
          <w:tcPr>
            <w:tcW w:w="1860" w:type="dxa"/>
            <w:tcMar>
              <w:top w:w="0" w:type="dxa"/>
              <w:bottom w:w="0" w:type="dxa"/>
            </w:tcMar>
            <w:vAlign w:val="center"/>
          </w:tcPr>
          <w:p w14:paraId="72024849" w14:textId="77777777" w:rsidR="00367E91" w:rsidRDefault="002B0324">
            <w:pPr>
              <w:keepNext/>
              <w:keepLines/>
              <w:spacing w:after="0" w:line="240" w:lineRule="auto"/>
              <w:jc w:val="right"/>
            </w:pPr>
            <w:r>
              <w:rPr>
                <w:sz w:val="18"/>
              </w:rPr>
              <w:t>1.500,00</w:t>
            </w:r>
          </w:p>
        </w:tc>
        <w:tc>
          <w:tcPr>
            <w:tcW w:w="1860" w:type="dxa"/>
            <w:tcMar>
              <w:top w:w="0" w:type="dxa"/>
              <w:bottom w:w="0" w:type="dxa"/>
            </w:tcMar>
            <w:vAlign w:val="center"/>
          </w:tcPr>
          <w:p w14:paraId="5C9C18A5" w14:textId="77777777" w:rsidR="00367E91" w:rsidRDefault="002B0324">
            <w:pPr>
              <w:keepNext/>
              <w:keepLines/>
              <w:spacing w:after="0" w:line="240" w:lineRule="auto"/>
              <w:jc w:val="right"/>
            </w:pPr>
            <w:r>
              <w:rPr>
                <w:sz w:val="18"/>
              </w:rPr>
              <w:t>400,00</w:t>
            </w:r>
          </w:p>
        </w:tc>
        <w:tc>
          <w:tcPr>
            <w:tcW w:w="700" w:type="dxa"/>
            <w:tcMar>
              <w:top w:w="0" w:type="dxa"/>
              <w:bottom w:w="0" w:type="dxa"/>
            </w:tcMar>
            <w:vAlign w:val="center"/>
          </w:tcPr>
          <w:p w14:paraId="6B6A6328" w14:textId="77777777" w:rsidR="00367E91" w:rsidRDefault="002B0324">
            <w:pPr>
              <w:keepNext/>
              <w:keepLines/>
              <w:spacing w:after="0" w:line="240" w:lineRule="auto"/>
              <w:jc w:val="right"/>
            </w:pPr>
            <w:r>
              <w:rPr>
                <w:sz w:val="18"/>
              </w:rPr>
              <w:t>26,7</w:t>
            </w:r>
          </w:p>
        </w:tc>
      </w:tr>
    </w:tbl>
    <w:p w14:paraId="7E45C2F0" w14:textId="77777777" w:rsidR="00367E91" w:rsidRDefault="00367E91">
      <w:pPr>
        <w:spacing w:after="0"/>
      </w:pPr>
    </w:p>
    <w:p w14:paraId="55547596" w14:textId="77777777" w:rsidR="00367E91" w:rsidRDefault="002B0324">
      <w:r>
        <w:t>u 2024. godini veći iznos donacija privrednih subjekata za održavanje studentskog Kongresa u odnosu na 2025. godinu.</w:t>
      </w:r>
    </w:p>
    <w:p w14:paraId="242FD3D6" w14:textId="77777777" w:rsidR="00367E91" w:rsidRDefault="00367E91"/>
    <w:p w14:paraId="59DE7223" w14:textId="77777777" w:rsidR="00367E91" w:rsidRDefault="002B0324">
      <w:pPr>
        <w:keepNext/>
        <w:spacing w:line="240" w:lineRule="auto"/>
        <w:jc w:val="center"/>
      </w:pPr>
      <w:r>
        <w:rPr>
          <w:sz w:val="28"/>
        </w:rPr>
        <w:lastRenderedPageBreak/>
        <w:t>Bilješka 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367E91" w14:paraId="1DBCC2DF"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5CD87CC" w14:textId="77777777" w:rsidR="00367E91" w:rsidRDefault="002B0324">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78DF8A34" w14:textId="77777777" w:rsidR="00367E91" w:rsidRDefault="002B0324">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2C5D8B7" w14:textId="77777777" w:rsidR="00367E91" w:rsidRDefault="002B0324">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B17A6A4" w14:textId="77777777" w:rsidR="00367E91" w:rsidRDefault="002B0324">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560CA55" w14:textId="77777777" w:rsidR="00367E91" w:rsidRDefault="002B0324">
            <w:pPr>
              <w:keepNext/>
              <w:keepLines/>
              <w:spacing w:after="0" w:line="240" w:lineRule="auto"/>
              <w:jc w:val="center"/>
            </w:pPr>
            <w:r>
              <w:rPr>
                <w:b/>
                <w:sz w:val="18"/>
              </w:rPr>
              <w:t>Ostvareno u izvještajnom razdoblju t</w:t>
            </w:r>
            <w:r>
              <w:rPr>
                <w:b/>
                <w:sz w:val="18"/>
              </w:rPr>
              <w:t>ekuće godine</w:t>
            </w:r>
          </w:p>
        </w:tc>
        <w:tc>
          <w:tcPr>
            <w:tcW w:w="700" w:type="dxa"/>
            <w:shd w:val="clear" w:color="auto" w:fill="E7F0F9"/>
            <w:tcMar>
              <w:top w:w="0" w:type="dxa"/>
              <w:bottom w:w="0" w:type="dxa"/>
            </w:tcMar>
            <w:vAlign w:val="center"/>
          </w:tcPr>
          <w:p w14:paraId="6D3ECFF4" w14:textId="77777777" w:rsidR="00367E91" w:rsidRDefault="002B0324">
            <w:pPr>
              <w:keepNext/>
              <w:keepLines/>
              <w:spacing w:after="0" w:line="240" w:lineRule="auto"/>
              <w:jc w:val="center"/>
            </w:pPr>
            <w:r>
              <w:rPr>
                <w:b/>
                <w:sz w:val="18"/>
              </w:rPr>
              <w:t>Indeks (%)</w:t>
            </w:r>
          </w:p>
        </w:tc>
      </w:tr>
      <w:tr w:rsidR="00367E91" w14:paraId="427B4D2C" w14:textId="77777777">
        <w:tblPrEx>
          <w:tblCellMar>
            <w:top w:w="0" w:type="dxa"/>
            <w:bottom w:w="0" w:type="dxa"/>
          </w:tblCellMar>
        </w:tblPrEx>
        <w:trPr>
          <w:cantSplit/>
          <w:trHeight w:val="560"/>
        </w:trPr>
        <w:tc>
          <w:tcPr>
            <w:tcW w:w="700" w:type="dxa"/>
            <w:tcMar>
              <w:top w:w="0" w:type="dxa"/>
              <w:bottom w:w="0" w:type="dxa"/>
            </w:tcMar>
            <w:vAlign w:val="center"/>
          </w:tcPr>
          <w:p w14:paraId="6D8CA8F8" w14:textId="77777777" w:rsidR="00367E91" w:rsidRDefault="002B0324">
            <w:pPr>
              <w:keepNext/>
              <w:keepLines/>
              <w:spacing w:after="0" w:line="240" w:lineRule="auto"/>
            </w:pPr>
            <w:r>
              <w:rPr>
                <w:sz w:val="18"/>
              </w:rPr>
              <w:t>6632</w:t>
            </w:r>
          </w:p>
        </w:tc>
        <w:tc>
          <w:tcPr>
            <w:tcW w:w="3180" w:type="dxa"/>
            <w:tcMar>
              <w:top w:w="0" w:type="dxa"/>
              <w:bottom w:w="0" w:type="dxa"/>
            </w:tcMar>
            <w:vAlign w:val="center"/>
          </w:tcPr>
          <w:p w14:paraId="483B28A1" w14:textId="77777777" w:rsidR="00367E91" w:rsidRDefault="002B0324">
            <w:pPr>
              <w:keepNext/>
              <w:keepLines/>
              <w:spacing w:after="0" w:line="240" w:lineRule="auto"/>
            </w:pPr>
            <w:r>
              <w:rPr>
                <w:sz w:val="18"/>
              </w:rPr>
              <w:t>Kapitalne donacije</w:t>
            </w:r>
          </w:p>
        </w:tc>
        <w:tc>
          <w:tcPr>
            <w:tcW w:w="700" w:type="dxa"/>
            <w:tcMar>
              <w:top w:w="0" w:type="dxa"/>
              <w:bottom w:w="0" w:type="dxa"/>
            </w:tcMar>
            <w:vAlign w:val="center"/>
          </w:tcPr>
          <w:p w14:paraId="2092901E" w14:textId="77777777" w:rsidR="00367E91" w:rsidRDefault="002B0324">
            <w:pPr>
              <w:keepNext/>
              <w:keepLines/>
              <w:spacing w:after="0" w:line="240" w:lineRule="auto"/>
            </w:pPr>
            <w:r>
              <w:rPr>
                <w:sz w:val="18"/>
              </w:rPr>
              <w:t>6632</w:t>
            </w:r>
          </w:p>
        </w:tc>
        <w:tc>
          <w:tcPr>
            <w:tcW w:w="1860" w:type="dxa"/>
            <w:tcMar>
              <w:top w:w="0" w:type="dxa"/>
              <w:bottom w:w="0" w:type="dxa"/>
            </w:tcMar>
            <w:vAlign w:val="center"/>
          </w:tcPr>
          <w:p w14:paraId="31AF8A65" w14:textId="77777777" w:rsidR="00367E91" w:rsidRDefault="002B0324">
            <w:pPr>
              <w:keepNext/>
              <w:keepLines/>
              <w:spacing w:after="0" w:line="240" w:lineRule="auto"/>
              <w:jc w:val="right"/>
            </w:pPr>
            <w:r>
              <w:rPr>
                <w:sz w:val="18"/>
              </w:rPr>
              <w:t>4.996,86</w:t>
            </w:r>
          </w:p>
        </w:tc>
        <w:tc>
          <w:tcPr>
            <w:tcW w:w="1860" w:type="dxa"/>
            <w:tcMar>
              <w:top w:w="0" w:type="dxa"/>
              <w:bottom w:w="0" w:type="dxa"/>
            </w:tcMar>
            <w:vAlign w:val="center"/>
          </w:tcPr>
          <w:p w14:paraId="365D00B6" w14:textId="77777777" w:rsidR="00367E91" w:rsidRDefault="002B0324">
            <w:pPr>
              <w:keepNext/>
              <w:keepLines/>
              <w:spacing w:after="0" w:line="240" w:lineRule="auto"/>
              <w:jc w:val="right"/>
            </w:pPr>
            <w:r>
              <w:rPr>
                <w:sz w:val="18"/>
              </w:rPr>
              <w:t>2.500,00</w:t>
            </w:r>
          </w:p>
        </w:tc>
        <w:tc>
          <w:tcPr>
            <w:tcW w:w="700" w:type="dxa"/>
            <w:tcMar>
              <w:top w:w="0" w:type="dxa"/>
              <w:bottom w:w="0" w:type="dxa"/>
            </w:tcMar>
            <w:vAlign w:val="center"/>
          </w:tcPr>
          <w:p w14:paraId="28F10C8D" w14:textId="77777777" w:rsidR="00367E91" w:rsidRDefault="002B0324">
            <w:pPr>
              <w:keepNext/>
              <w:keepLines/>
              <w:spacing w:after="0" w:line="240" w:lineRule="auto"/>
              <w:jc w:val="right"/>
            </w:pPr>
            <w:r>
              <w:rPr>
                <w:sz w:val="18"/>
              </w:rPr>
              <w:t>50,0</w:t>
            </w:r>
          </w:p>
        </w:tc>
      </w:tr>
    </w:tbl>
    <w:p w14:paraId="0F4C638F" w14:textId="77777777" w:rsidR="00367E91" w:rsidRDefault="00367E91">
      <w:pPr>
        <w:spacing w:after="0"/>
      </w:pPr>
    </w:p>
    <w:p w14:paraId="00941EDF" w14:textId="77777777" w:rsidR="00367E91" w:rsidRDefault="002B0324">
      <w:r>
        <w:t>manji broj darovanih knjiga knjižnici Fakulteta od strane neproračunskih subjekata u odnosu na  2024. godini.</w:t>
      </w:r>
    </w:p>
    <w:p w14:paraId="4D711426" w14:textId="77777777" w:rsidR="00367E91" w:rsidRDefault="00367E91"/>
    <w:p w14:paraId="061EC60F" w14:textId="77777777" w:rsidR="00367E91" w:rsidRDefault="002B0324">
      <w:pPr>
        <w:keepNext/>
        <w:spacing w:line="240" w:lineRule="auto"/>
        <w:jc w:val="center"/>
      </w:pPr>
      <w:r>
        <w:rPr>
          <w:sz w:val="28"/>
        </w:rPr>
        <w:t>Bilješka 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367E91" w14:paraId="239E625D"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5A0DAA1" w14:textId="77777777" w:rsidR="00367E91" w:rsidRDefault="002B0324">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66F040A1" w14:textId="77777777" w:rsidR="00367E91" w:rsidRDefault="002B0324">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9EC6124" w14:textId="77777777" w:rsidR="00367E91" w:rsidRDefault="002B0324">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C577732" w14:textId="77777777" w:rsidR="00367E91" w:rsidRDefault="002B0324">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284A030" w14:textId="77777777" w:rsidR="00367E91" w:rsidRDefault="002B0324">
            <w:pPr>
              <w:keepNext/>
              <w:keepLines/>
              <w:spacing w:after="0" w:line="240" w:lineRule="auto"/>
              <w:jc w:val="center"/>
            </w:pPr>
            <w:r>
              <w:rPr>
                <w:b/>
                <w:sz w:val="18"/>
              </w:rPr>
              <w:t>Ostvareno u izvještajnom razdoblju tekuće g</w:t>
            </w:r>
            <w:r>
              <w:rPr>
                <w:b/>
                <w:sz w:val="18"/>
              </w:rPr>
              <w:t>odine</w:t>
            </w:r>
          </w:p>
        </w:tc>
        <w:tc>
          <w:tcPr>
            <w:tcW w:w="700" w:type="dxa"/>
            <w:shd w:val="clear" w:color="auto" w:fill="E7F0F9"/>
            <w:tcMar>
              <w:top w:w="0" w:type="dxa"/>
              <w:bottom w:w="0" w:type="dxa"/>
            </w:tcMar>
            <w:vAlign w:val="center"/>
          </w:tcPr>
          <w:p w14:paraId="65024859" w14:textId="77777777" w:rsidR="00367E91" w:rsidRDefault="002B0324">
            <w:pPr>
              <w:keepNext/>
              <w:keepLines/>
              <w:spacing w:after="0" w:line="240" w:lineRule="auto"/>
              <w:jc w:val="center"/>
            </w:pPr>
            <w:r>
              <w:rPr>
                <w:b/>
                <w:sz w:val="18"/>
              </w:rPr>
              <w:t>Indeks (%)</w:t>
            </w:r>
          </w:p>
        </w:tc>
      </w:tr>
      <w:tr w:rsidR="00367E91" w14:paraId="2576DA8F" w14:textId="77777777">
        <w:tblPrEx>
          <w:tblCellMar>
            <w:top w:w="0" w:type="dxa"/>
            <w:bottom w:w="0" w:type="dxa"/>
          </w:tblCellMar>
        </w:tblPrEx>
        <w:trPr>
          <w:cantSplit/>
          <w:trHeight w:val="560"/>
        </w:trPr>
        <w:tc>
          <w:tcPr>
            <w:tcW w:w="700" w:type="dxa"/>
            <w:tcMar>
              <w:top w:w="0" w:type="dxa"/>
              <w:bottom w:w="0" w:type="dxa"/>
            </w:tcMar>
            <w:vAlign w:val="center"/>
          </w:tcPr>
          <w:p w14:paraId="0E305012" w14:textId="77777777" w:rsidR="00367E91" w:rsidRDefault="002B0324">
            <w:pPr>
              <w:keepNext/>
              <w:keepLines/>
              <w:spacing w:after="0" w:line="240" w:lineRule="auto"/>
            </w:pPr>
            <w:r>
              <w:rPr>
                <w:sz w:val="18"/>
              </w:rPr>
              <w:t>671</w:t>
            </w:r>
          </w:p>
        </w:tc>
        <w:tc>
          <w:tcPr>
            <w:tcW w:w="3180" w:type="dxa"/>
            <w:tcMar>
              <w:top w:w="0" w:type="dxa"/>
              <w:bottom w:w="0" w:type="dxa"/>
            </w:tcMar>
            <w:vAlign w:val="center"/>
          </w:tcPr>
          <w:p w14:paraId="6E7C848C" w14:textId="77777777" w:rsidR="00367E91" w:rsidRDefault="002B0324">
            <w:pPr>
              <w:keepNext/>
              <w:keepLines/>
              <w:spacing w:after="0" w:line="240" w:lineRule="auto"/>
            </w:pPr>
            <w:r>
              <w:rPr>
                <w:sz w:val="18"/>
              </w:rPr>
              <w:t>Prihodi iz nadležnog proračuna za financiranje redovne djelatnosti proračunskih korisnika (šifre 6711 do 6714)</w:t>
            </w:r>
          </w:p>
        </w:tc>
        <w:tc>
          <w:tcPr>
            <w:tcW w:w="700" w:type="dxa"/>
            <w:tcMar>
              <w:top w:w="0" w:type="dxa"/>
              <w:bottom w:w="0" w:type="dxa"/>
            </w:tcMar>
            <w:vAlign w:val="center"/>
          </w:tcPr>
          <w:p w14:paraId="39F5F009" w14:textId="77777777" w:rsidR="00367E91" w:rsidRDefault="002B0324">
            <w:pPr>
              <w:keepNext/>
              <w:keepLines/>
              <w:spacing w:after="0" w:line="240" w:lineRule="auto"/>
            </w:pPr>
            <w:r>
              <w:rPr>
                <w:sz w:val="18"/>
              </w:rPr>
              <w:t>671</w:t>
            </w:r>
          </w:p>
        </w:tc>
        <w:tc>
          <w:tcPr>
            <w:tcW w:w="1860" w:type="dxa"/>
            <w:tcMar>
              <w:top w:w="0" w:type="dxa"/>
              <w:bottom w:w="0" w:type="dxa"/>
            </w:tcMar>
            <w:vAlign w:val="center"/>
          </w:tcPr>
          <w:p w14:paraId="2B0668CE" w14:textId="77777777" w:rsidR="00367E91" w:rsidRDefault="002B0324">
            <w:pPr>
              <w:keepNext/>
              <w:keepLines/>
              <w:spacing w:after="0" w:line="240" w:lineRule="auto"/>
              <w:jc w:val="right"/>
            </w:pPr>
            <w:r>
              <w:rPr>
                <w:sz w:val="18"/>
              </w:rPr>
              <w:t>3.944.711,58</w:t>
            </w:r>
          </w:p>
        </w:tc>
        <w:tc>
          <w:tcPr>
            <w:tcW w:w="1860" w:type="dxa"/>
            <w:tcMar>
              <w:top w:w="0" w:type="dxa"/>
              <w:bottom w:w="0" w:type="dxa"/>
            </w:tcMar>
            <w:vAlign w:val="center"/>
          </w:tcPr>
          <w:p w14:paraId="2FEF7104" w14:textId="77777777" w:rsidR="00367E91" w:rsidRDefault="002B0324">
            <w:pPr>
              <w:keepNext/>
              <w:keepLines/>
              <w:spacing w:after="0" w:line="240" w:lineRule="auto"/>
              <w:jc w:val="right"/>
            </w:pPr>
            <w:r>
              <w:rPr>
                <w:sz w:val="18"/>
              </w:rPr>
              <w:t>4.393.093,28</w:t>
            </w:r>
          </w:p>
        </w:tc>
        <w:tc>
          <w:tcPr>
            <w:tcW w:w="700" w:type="dxa"/>
            <w:tcMar>
              <w:top w:w="0" w:type="dxa"/>
              <w:bottom w:w="0" w:type="dxa"/>
            </w:tcMar>
            <w:vAlign w:val="center"/>
          </w:tcPr>
          <w:p w14:paraId="0FCF798D" w14:textId="77777777" w:rsidR="00367E91" w:rsidRDefault="002B0324">
            <w:pPr>
              <w:keepNext/>
              <w:keepLines/>
              <w:spacing w:after="0" w:line="240" w:lineRule="auto"/>
              <w:jc w:val="right"/>
            </w:pPr>
            <w:r>
              <w:rPr>
                <w:sz w:val="18"/>
              </w:rPr>
              <w:t>111,4</w:t>
            </w:r>
          </w:p>
        </w:tc>
      </w:tr>
    </w:tbl>
    <w:p w14:paraId="5BAB6C99" w14:textId="77777777" w:rsidR="00367E91" w:rsidRDefault="00367E91">
      <w:pPr>
        <w:spacing w:after="0"/>
      </w:pPr>
    </w:p>
    <w:p w14:paraId="5A7222D1" w14:textId="77777777" w:rsidR="00367E91" w:rsidRDefault="002B0324">
      <w:r>
        <w:t>U 2025. godini više doznačenih sredstava za plaću zbog dvokratnog porasta osnovice za izračun plaće; više doznačeno sredstava za materijalna prava zbog povećanja iznosa za uskrsnicu, regres i božićnicu, više doznačenih sredstava za programsko financiranje.</w:t>
      </w:r>
      <w:r>
        <w:t xml:space="preserve"> U 2024. godini za potrebe znanostvene djelatnosti kupljeno više opreme u odnosu na 2025. godinu. Sredstva za nove programske ugovore u 2025. nisu doznačena kako je planirano nego samo za razvojnu komponentu. Kupljeno manje opreme u odnosu na 2024. godinu</w:t>
      </w:r>
    </w:p>
    <w:p w14:paraId="67AE81B7" w14:textId="77777777" w:rsidR="00367E91" w:rsidRDefault="00367E91"/>
    <w:p w14:paraId="2CB348DC" w14:textId="77777777" w:rsidR="00367E91" w:rsidRDefault="002B0324">
      <w:pPr>
        <w:keepNext/>
        <w:spacing w:line="240" w:lineRule="auto"/>
        <w:jc w:val="center"/>
      </w:pPr>
      <w:r>
        <w:rPr>
          <w:sz w:val="28"/>
        </w:rPr>
        <w:t>Bilješka 10.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367E91" w14:paraId="0DC98A4B"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4FEF1AA" w14:textId="77777777" w:rsidR="00367E91" w:rsidRDefault="002B0324">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738A0D7A" w14:textId="77777777" w:rsidR="00367E91" w:rsidRDefault="002B0324">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233F1F1" w14:textId="77777777" w:rsidR="00367E91" w:rsidRDefault="002B0324">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DD55E53" w14:textId="77777777" w:rsidR="00367E91" w:rsidRDefault="002B0324">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D9083B3" w14:textId="77777777" w:rsidR="00367E91" w:rsidRDefault="002B0324">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C193316" w14:textId="77777777" w:rsidR="00367E91" w:rsidRDefault="002B0324">
            <w:pPr>
              <w:keepNext/>
              <w:keepLines/>
              <w:spacing w:after="0" w:line="240" w:lineRule="auto"/>
              <w:jc w:val="center"/>
            </w:pPr>
            <w:r>
              <w:rPr>
                <w:b/>
                <w:sz w:val="18"/>
              </w:rPr>
              <w:t>Indeks (%)</w:t>
            </w:r>
          </w:p>
        </w:tc>
      </w:tr>
      <w:tr w:rsidR="00367E91" w14:paraId="1416B055" w14:textId="77777777">
        <w:tblPrEx>
          <w:tblCellMar>
            <w:top w:w="0" w:type="dxa"/>
            <w:bottom w:w="0" w:type="dxa"/>
          </w:tblCellMar>
        </w:tblPrEx>
        <w:trPr>
          <w:cantSplit/>
          <w:trHeight w:val="560"/>
        </w:trPr>
        <w:tc>
          <w:tcPr>
            <w:tcW w:w="700" w:type="dxa"/>
            <w:tcMar>
              <w:top w:w="0" w:type="dxa"/>
              <w:bottom w:w="0" w:type="dxa"/>
            </w:tcMar>
            <w:vAlign w:val="center"/>
          </w:tcPr>
          <w:p w14:paraId="07CB14AC" w14:textId="77777777" w:rsidR="00367E91" w:rsidRDefault="002B0324">
            <w:pPr>
              <w:keepNext/>
              <w:keepLines/>
              <w:spacing w:after="0" w:line="240" w:lineRule="auto"/>
            </w:pPr>
            <w:r>
              <w:rPr>
                <w:sz w:val="18"/>
              </w:rPr>
              <w:t>68</w:t>
            </w:r>
          </w:p>
        </w:tc>
        <w:tc>
          <w:tcPr>
            <w:tcW w:w="3180" w:type="dxa"/>
            <w:tcMar>
              <w:top w:w="0" w:type="dxa"/>
              <w:bottom w:w="0" w:type="dxa"/>
            </w:tcMar>
            <w:vAlign w:val="center"/>
          </w:tcPr>
          <w:p w14:paraId="14E4D185" w14:textId="77777777" w:rsidR="00367E91" w:rsidRDefault="002B0324">
            <w:pPr>
              <w:keepNext/>
              <w:keepLines/>
              <w:spacing w:after="0" w:line="240" w:lineRule="auto"/>
            </w:pPr>
            <w:r>
              <w:rPr>
                <w:sz w:val="18"/>
              </w:rPr>
              <w:t>Kazne, upravne mjere i ostali prihodi (šifre 681+683)</w:t>
            </w:r>
          </w:p>
        </w:tc>
        <w:tc>
          <w:tcPr>
            <w:tcW w:w="700" w:type="dxa"/>
            <w:tcMar>
              <w:top w:w="0" w:type="dxa"/>
              <w:bottom w:w="0" w:type="dxa"/>
            </w:tcMar>
            <w:vAlign w:val="center"/>
          </w:tcPr>
          <w:p w14:paraId="29469649" w14:textId="77777777" w:rsidR="00367E91" w:rsidRDefault="002B0324">
            <w:pPr>
              <w:keepNext/>
              <w:keepLines/>
              <w:spacing w:after="0" w:line="240" w:lineRule="auto"/>
            </w:pPr>
            <w:r>
              <w:rPr>
                <w:sz w:val="18"/>
              </w:rPr>
              <w:t>68</w:t>
            </w:r>
          </w:p>
        </w:tc>
        <w:tc>
          <w:tcPr>
            <w:tcW w:w="1860" w:type="dxa"/>
            <w:tcMar>
              <w:top w:w="0" w:type="dxa"/>
              <w:bottom w:w="0" w:type="dxa"/>
            </w:tcMar>
            <w:vAlign w:val="center"/>
          </w:tcPr>
          <w:p w14:paraId="1400467D" w14:textId="77777777" w:rsidR="00367E91" w:rsidRDefault="002B0324">
            <w:pPr>
              <w:keepNext/>
              <w:keepLines/>
              <w:spacing w:after="0" w:line="240" w:lineRule="auto"/>
              <w:jc w:val="right"/>
            </w:pPr>
            <w:r>
              <w:rPr>
                <w:sz w:val="18"/>
              </w:rPr>
              <w:t>0,00</w:t>
            </w:r>
          </w:p>
        </w:tc>
        <w:tc>
          <w:tcPr>
            <w:tcW w:w="1860" w:type="dxa"/>
            <w:tcMar>
              <w:top w:w="0" w:type="dxa"/>
              <w:bottom w:w="0" w:type="dxa"/>
            </w:tcMar>
            <w:vAlign w:val="center"/>
          </w:tcPr>
          <w:p w14:paraId="699CE653" w14:textId="77777777" w:rsidR="00367E91" w:rsidRDefault="002B0324">
            <w:pPr>
              <w:keepNext/>
              <w:keepLines/>
              <w:spacing w:after="0" w:line="240" w:lineRule="auto"/>
              <w:jc w:val="right"/>
            </w:pPr>
            <w:r>
              <w:rPr>
                <w:sz w:val="18"/>
              </w:rPr>
              <w:t>3.484,80</w:t>
            </w:r>
          </w:p>
        </w:tc>
        <w:tc>
          <w:tcPr>
            <w:tcW w:w="700" w:type="dxa"/>
            <w:tcMar>
              <w:top w:w="0" w:type="dxa"/>
              <w:bottom w:w="0" w:type="dxa"/>
            </w:tcMar>
            <w:vAlign w:val="center"/>
          </w:tcPr>
          <w:p w14:paraId="433CF1D7" w14:textId="77777777" w:rsidR="00367E91" w:rsidRDefault="002B0324">
            <w:pPr>
              <w:keepNext/>
              <w:keepLines/>
              <w:spacing w:after="0" w:line="240" w:lineRule="auto"/>
              <w:jc w:val="right"/>
            </w:pPr>
            <w:r>
              <w:rPr>
                <w:sz w:val="18"/>
              </w:rPr>
              <w:t>-</w:t>
            </w:r>
          </w:p>
        </w:tc>
      </w:tr>
    </w:tbl>
    <w:p w14:paraId="45775D95" w14:textId="77777777" w:rsidR="00367E91" w:rsidRDefault="00367E91">
      <w:pPr>
        <w:spacing w:after="0"/>
      </w:pPr>
    </w:p>
    <w:p w14:paraId="0F4DF985" w14:textId="77777777" w:rsidR="00367E91" w:rsidRDefault="002B0324">
      <w:r>
        <w:t>Naplata oportunitetnih troškova za studente koji su bili na listi za upis na fakultet ali se nisu upisali. Tog prihoda nije bilo u 2024. godini.</w:t>
      </w:r>
    </w:p>
    <w:p w14:paraId="3D6A155E" w14:textId="77777777" w:rsidR="00367E91" w:rsidRDefault="00367E91"/>
    <w:p w14:paraId="29C29DE0" w14:textId="77777777" w:rsidR="00367E91" w:rsidRDefault="002B0324">
      <w:pPr>
        <w:keepNext/>
        <w:spacing w:line="240" w:lineRule="auto"/>
        <w:jc w:val="center"/>
      </w:pPr>
      <w:r>
        <w:rPr>
          <w:sz w:val="28"/>
        </w:rPr>
        <w:lastRenderedPageBreak/>
        <w:t>Bilješka 11.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367E91" w14:paraId="43AC53EF"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A2F7557" w14:textId="77777777" w:rsidR="00367E91" w:rsidRDefault="002B0324">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79B551B6" w14:textId="77777777" w:rsidR="00367E91" w:rsidRDefault="002B0324">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C0C9B6B" w14:textId="77777777" w:rsidR="00367E91" w:rsidRDefault="002B0324">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AB32BB7" w14:textId="77777777" w:rsidR="00367E91" w:rsidRDefault="002B0324">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6A0EF22" w14:textId="77777777" w:rsidR="00367E91" w:rsidRDefault="002B0324">
            <w:pPr>
              <w:keepNext/>
              <w:keepLines/>
              <w:spacing w:after="0" w:line="240" w:lineRule="auto"/>
              <w:jc w:val="center"/>
            </w:pPr>
            <w:r>
              <w:rPr>
                <w:b/>
                <w:sz w:val="18"/>
              </w:rPr>
              <w:t>Ostvare</w:t>
            </w:r>
            <w:r>
              <w:rPr>
                <w:b/>
                <w:sz w:val="18"/>
              </w:rPr>
              <w:t>no u izvještajnom razdoblju tekuće godine</w:t>
            </w:r>
          </w:p>
        </w:tc>
        <w:tc>
          <w:tcPr>
            <w:tcW w:w="700" w:type="dxa"/>
            <w:shd w:val="clear" w:color="auto" w:fill="E7F0F9"/>
            <w:tcMar>
              <w:top w:w="0" w:type="dxa"/>
              <w:bottom w:w="0" w:type="dxa"/>
            </w:tcMar>
            <w:vAlign w:val="center"/>
          </w:tcPr>
          <w:p w14:paraId="7702DB84" w14:textId="77777777" w:rsidR="00367E91" w:rsidRDefault="002B0324">
            <w:pPr>
              <w:keepNext/>
              <w:keepLines/>
              <w:spacing w:after="0" w:line="240" w:lineRule="auto"/>
              <w:jc w:val="center"/>
            </w:pPr>
            <w:r>
              <w:rPr>
                <w:b/>
                <w:sz w:val="18"/>
              </w:rPr>
              <w:t>Indeks (%)</w:t>
            </w:r>
          </w:p>
        </w:tc>
      </w:tr>
      <w:tr w:rsidR="00367E91" w14:paraId="67E95A16" w14:textId="77777777">
        <w:tblPrEx>
          <w:tblCellMar>
            <w:top w:w="0" w:type="dxa"/>
            <w:bottom w:w="0" w:type="dxa"/>
          </w:tblCellMar>
        </w:tblPrEx>
        <w:trPr>
          <w:cantSplit/>
          <w:trHeight w:val="560"/>
        </w:trPr>
        <w:tc>
          <w:tcPr>
            <w:tcW w:w="700" w:type="dxa"/>
            <w:tcMar>
              <w:top w:w="0" w:type="dxa"/>
              <w:bottom w:w="0" w:type="dxa"/>
            </w:tcMar>
            <w:vAlign w:val="center"/>
          </w:tcPr>
          <w:p w14:paraId="451CD0C4" w14:textId="77777777" w:rsidR="00367E91" w:rsidRDefault="002B0324">
            <w:pPr>
              <w:keepNext/>
              <w:keepLines/>
              <w:spacing w:after="0" w:line="240" w:lineRule="auto"/>
            </w:pPr>
            <w:r>
              <w:rPr>
                <w:sz w:val="18"/>
              </w:rPr>
              <w:t>3111</w:t>
            </w:r>
          </w:p>
        </w:tc>
        <w:tc>
          <w:tcPr>
            <w:tcW w:w="3180" w:type="dxa"/>
            <w:tcMar>
              <w:top w:w="0" w:type="dxa"/>
              <w:bottom w:w="0" w:type="dxa"/>
            </w:tcMar>
            <w:vAlign w:val="center"/>
          </w:tcPr>
          <w:p w14:paraId="7D81B9FA" w14:textId="77777777" w:rsidR="00367E91" w:rsidRDefault="002B0324">
            <w:pPr>
              <w:keepNext/>
              <w:keepLines/>
              <w:spacing w:after="0" w:line="240" w:lineRule="auto"/>
            </w:pPr>
            <w:r>
              <w:rPr>
                <w:sz w:val="18"/>
              </w:rPr>
              <w:t>Plaće za redovan rad</w:t>
            </w:r>
          </w:p>
        </w:tc>
        <w:tc>
          <w:tcPr>
            <w:tcW w:w="700" w:type="dxa"/>
            <w:tcMar>
              <w:top w:w="0" w:type="dxa"/>
              <w:bottom w:w="0" w:type="dxa"/>
            </w:tcMar>
            <w:vAlign w:val="center"/>
          </w:tcPr>
          <w:p w14:paraId="74C8B6A9" w14:textId="77777777" w:rsidR="00367E91" w:rsidRDefault="002B0324">
            <w:pPr>
              <w:keepNext/>
              <w:keepLines/>
              <w:spacing w:after="0" w:line="240" w:lineRule="auto"/>
            </w:pPr>
            <w:r>
              <w:rPr>
                <w:sz w:val="18"/>
              </w:rPr>
              <w:t>3111</w:t>
            </w:r>
          </w:p>
        </w:tc>
        <w:tc>
          <w:tcPr>
            <w:tcW w:w="1860" w:type="dxa"/>
            <w:tcMar>
              <w:top w:w="0" w:type="dxa"/>
              <w:bottom w:w="0" w:type="dxa"/>
            </w:tcMar>
            <w:vAlign w:val="center"/>
          </w:tcPr>
          <w:p w14:paraId="53146190" w14:textId="77777777" w:rsidR="00367E91" w:rsidRDefault="002B0324">
            <w:pPr>
              <w:keepNext/>
              <w:keepLines/>
              <w:spacing w:after="0" w:line="240" w:lineRule="auto"/>
              <w:jc w:val="right"/>
            </w:pPr>
            <w:r>
              <w:rPr>
                <w:sz w:val="18"/>
              </w:rPr>
              <w:t>3.830.151,16</w:t>
            </w:r>
          </w:p>
        </w:tc>
        <w:tc>
          <w:tcPr>
            <w:tcW w:w="1860" w:type="dxa"/>
            <w:tcMar>
              <w:top w:w="0" w:type="dxa"/>
              <w:bottom w:w="0" w:type="dxa"/>
            </w:tcMar>
            <w:vAlign w:val="center"/>
          </w:tcPr>
          <w:p w14:paraId="4FEFA801" w14:textId="77777777" w:rsidR="00367E91" w:rsidRDefault="002B0324">
            <w:pPr>
              <w:keepNext/>
              <w:keepLines/>
              <w:spacing w:after="0" w:line="240" w:lineRule="auto"/>
              <w:jc w:val="right"/>
            </w:pPr>
            <w:r>
              <w:rPr>
                <w:sz w:val="18"/>
              </w:rPr>
              <w:t>4.261.477,49</w:t>
            </w:r>
          </w:p>
        </w:tc>
        <w:tc>
          <w:tcPr>
            <w:tcW w:w="700" w:type="dxa"/>
            <w:tcMar>
              <w:top w:w="0" w:type="dxa"/>
              <w:bottom w:w="0" w:type="dxa"/>
            </w:tcMar>
            <w:vAlign w:val="center"/>
          </w:tcPr>
          <w:p w14:paraId="380D0E46" w14:textId="77777777" w:rsidR="00367E91" w:rsidRDefault="002B0324">
            <w:pPr>
              <w:keepNext/>
              <w:keepLines/>
              <w:spacing w:after="0" w:line="240" w:lineRule="auto"/>
              <w:jc w:val="right"/>
            </w:pPr>
            <w:r>
              <w:rPr>
                <w:sz w:val="18"/>
              </w:rPr>
              <w:t>111,3</w:t>
            </w:r>
          </w:p>
        </w:tc>
      </w:tr>
    </w:tbl>
    <w:p w14:paraId="7E31E2D8" w14:textId="77777777" w:rsidR="00367E91" w:rsidRDefault="00367E91">
      <w:pPr>
        <w:spacing w:after="0"/>
      </w:pPr>
    </w:p>
    <w:p w14:paraId="5AD8650A" w14:textId="77777777" w:rsidR="00367E91" w:rsidRDefault="002B0324">
      <w:r>
        <w:t>Šifra  3111 i  3132  Povećana osnovica za za obračun plaće od 1.2.2025. i 1.9.2025. godine, , zapošljavanje novih osoba, napredovanja u više znanstveno-nastavno zvanje.</w:t>
      </w:r>
    </w:p>
    <w:p w14:paraId="3AA9121D" w14:textId="77777777" w:rsidR="00367E91" w:rsidRDefault="00367E91"/>
    <w:p w14:paraId="0328C871" w14:textId="77777777" w:rsidR="00367E91" w:rsidRDefault="002B0324">
      <w:pPr>
        <w:keepNext/>
        <w:spacing w:line="240" w:lineRule="auto"/>
        <w:jc w:val="center"/>
      </w:pPr>
      <w:r>
        <w:rPr>
          <w:sz w:val="28"/>
        </w:rPr>
        <w:t>Bilješka 12.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367E91" w14:paraId="66275F2F"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E9E4BBA" w14:textId="77777777" w:rsidR="00367E91" w:rsidRDefault="002B0324">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29CBECA6" w14:textId="77777777" w:rsidR="00367E91" w:rsidRDefault="002B0324">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F427120" w14:textId="77777777" w:rsidR="00367E91" w:rsidRDefault="002B0324">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2FAA3C8" w14:textId="77777777" w:rsidR="00367E91" w:rsidRDefault="002B0324">
            <w:pPr>
              <w:keepNext/>
              <w:keepLines/>
              <w:spacing w:after="0" w:line="240" w:lineRule="auto"/>
              <w:jc w:val="center"/>
            </w:pPr>
            <w:r>
              <w:rPr>
                <w:b/>
                <w:sz w:val="18"/>
              </w:rPr>
              <w:t xml:space="preserve">Ostvareno u izvještajnom razdoblju </w:t>
            </w:r>
            <w:r>
              <w:rPr>
                <w:b/>
                <w:sz w:val="18"/>
              </w:rPr>
              <w:t>prethodne godine</w:t>
            </w:r>
          </w:p>
        </w:tc>
        <w:tc>
          <w:tcPr>
            <w:tcW w:w="1860" w:type="dxa"/>
            <w:shd w:val="clear" w:color="auto" w:fill="E7F0F9"/>
            <w:tcMar>
              <w:top w:w="0" w:type="dxa"/>
              <w:bottom w:w="0" w:type="dxa"/>
            </w:tcMar>
            <w:vAlign w:val="center"/>
          </w:tcPr>
          <w:p w14:paraId="6469EA40" w14:textId="77777777" w:rsidR="00367E91" w:rsidRDefault="002B0324">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4E4C74BD" w14:textId="77777777" w:rsidR="00367E91" w:rsidRDefault="002B0324">
            <w:pPr>
              <w:keepNext/>
              <w:keepLines/>
              <w:spacing w:after="0" w:line="240" w:lineRule="auto"/>
              <w:jc w:val="center"/>
            </w:pPr>
            <w:r>
              <w:rPr>
                <w:b/>
                <w:sz w:val="18"/>
              </w:rPr>
              <w:t>Indeks (%)</w:t>
            </w:r>
          </w:p>
        </w:tc>
      </w:tr>
      <w:tr w:rsidR="00367E91" w14:paraId="034816E1" w14:textId="77777777">
        <w:tblPrEx>
          <w:tblCellMar>
            <w:top w:w="0" w:type="dxa"/>
            <w:bottom w:w="0" w:type="dxa"/>
          </w:tblCellMar>
        </w:tblPrEx>
        <w:trPr>
          <w:cantSplit/>
          <w:trHeight w:val="560"/>
        </w:trPr>
        <w:tc>
          <w:tcPr>
            <w:tcW w:w="700" w:type="dxa"/>
            <w:tcMar>
              <w:top w:w="0" w:type="dxa"/>
              <w:bottom w:w="0" w:type="dxa"/>
            </w:tcMar>
            <w:vAlign w:val="center"/>
          </w:tcPr>
          <w:p w14:paraId="0F7B76D4" w14:textId="77777777" w:rsidR="00367E91" w:rsidRDefault="002B0324">
            <w:pPr>
              <w:keepNext/>
              <w:keepLines/>
              <w:spacing w:after="0" w:line="240" w:lineRule="auto"/>
            </w:pPr>
            <w:r>
              <w:rPr>
                <w:sz w:val="18"/>
              </w:rPr>
              <w:t>312</w:t>
            </w:r>
          </w:p>
        </w:tc>
        <w:tc>
          <w:tcPr>
            <w:tcW w:w="3180" w:type="dxa"/>
            <w:tcMar>
              <w:top w:w="0" w:type="dxa"/>
              <w:bottom w:w="0" w:type="dxa"/>
            </w:tcMar>
            <w:vAlign w:val="center"/>
          </w:tcPr>
          <w:p w14:paraId="0E8A53F2" w14:textId="77777777" w:rsidR="00367E91" w:rsidRDefault="002B0324">
            <w:pPr>
              <w:keepNext/>
              <w:keepLines/>
              <w:spacing w:after="0" w:line="240" w:lineRule="auto"/>
            </w:pPr>
            <w:r>
              <w:rPr>
                <w:sz w:val="18"/>
              </w:rPr>
              <w:t>Ostali rashodi za zaposlene</w:t>
            </w:r>
          </w:p>
        </w:tc>
        <w:tc>
          <w:tcPr>
            <w:tcW w:w="700" w:type="dxa"/>
            <w:tcMar>
              <w:top w:w="0" w:type="dxa"/>
              <w:bottom w:w="0" w:type="dxa"/>
            </w:tcMar>
            <w:vAlign w:val="center"/>
          </w:tcPr>
          <w:p w14:paraId="6BC335D7" w14:textId="77777777" w:rsidR="00367E91" w:rsidRDefault="002B0324">
            <w:pPr>
              <w:keepNext/>
              <w:keepLines/>
              <w:spacing w:after="0" w:line="240" w:lineRule="auto"/>
            </w:pPr>
            <w:r>
              <w:rPr>
                <w:sz w:val="18"/>
              </w:rPr>
              <w:t>312</w:t>
            </w:r>
          </w:p>
        </w:tc>
        <w:tc>
          <w:tcPr>
            <w:tcW w:w="1860" w:type="dxa"/>
            <w:tcMar>
              <w:top w:w="0" w:type="dxa"/>
              <w:bottom w:w="0" w:type="dxa"/>
            </w:tcMar>
            <w:vAlign w:val="center"/>
          </w:tcPr>
          <w:p w14:paraId="3AF56B86" w14:textId="77777777" w:rsidR="00367E91" w:rsidRDefault="002B0324">
            <w:pPr>
              <w:keepNext/>
              <w:keepLines/>
              <w:spacing w:after="0" w:line="240" w:lineRule="auto"/>
              <w:jc w:val="right"/>
            </w:pPr>
            <w:r>
              <w:rPr>
                <w:sz w:val="18"/>
              </w:rPr>
              <w:t>155.840,45</w:t>
            </w:r>
          </w:p>
        </w:tc>
        <w:tc>
          <w:tcPr>
            <w:tcW w:w="1860" w:type="dxa"/>
            <w:tcMar>
              <w:top w:w="0" w:type="dxa"/>
              <w:bottom w:w="0" w:type="dxa"/>
            </w:tcMar>
            <w:vAlign w:val="center"/>
          </w:tcPr>
          <w:p w14:paraId="742AB53D" w14:textId="77777777" w:rsidR="00367E91" w:rsidRDefault="002B0324">
            <w:pPr>
              <w:keepNext/>
              <w:keepLines/>
              <w:spacing w:after="0" w:line="240" w:lineRule="auto"/>
              <w:jc w:val="right"/>
            </w:pPr>
            <w:r>
              <w:rPr>
                <w:sz w:val="18"/>
              </w:rPr>
              <w:t>223.862,29</w:t>
            </w:r>
          </w:p>
        </w:tc>
        <w:tc>
          <w:tcPr>
            <w:tcW w:w="700" w:type="dxa"/>
            <w:tcMar>
              <w:top w:w="0" w:type="dxa"/>
              <w:bottom w:w="0" w:type="dxa"/>
            </w:tcMar>
            <w:vAlign w:val="center"/>
          </w:tcPr>
          <w:p w14:paraId="2577E2E4" w14:textId="77777777" w:rsidR="00367E91" w:rsidRDefault="002B0324">
            <w:pPr>
              <w:keepNext/>
              <w:keepLines/>
              <w:spacing w:after="0" w:line="240" w:lineRule="auto"/>
              <w:jc w:val="right"/>
            </w:pPr>
            <w:r>
              <w:rPr>
                <w:sz w:val="18"/>
              </w:rPr>
              <w:t>143,6</w:t>
            </w:r>
          </w:p>
        </w:tc>
      </w:tr>
    </w:tbl>
    <w:p w14:paraId="7FA2653D" w14:textId="77777777" w:rsidR="00367E91" w:rsidRDefault="00367E91">
      <w:pPr>
        <w:spacing w:after="0"/>
      </w:pPr>
    </w:p>
    <w:p w14:paraId="1412DB83" w14:textId="77777777" w:rsidR="00367E91" w:rsidRDefault="002B0324">
      <w:r>
        <w:t>u 2025. isplaćen paušalni trošak za prehranu svakom zaposleniku; manje isplate nagrada zaposlenima ali veće isplate za jubilarne nagrade, rođenje djeteta .</w:t>
      </w:r>
    </w:p>
    <w:p w14:paraId="327BEEDB" w14:textId="77777777" w:rsidR="00367E91" w:rsidRDefault="00367E91"/>
    <w:p w14:paraId="57871F39" w14:textId="77777777" w:rsidR="00367E91" w:rsidRDefault="002B0324">
      <w:pPr>
        <w:keepNext/>
        <w:spacing w:line="240" w:lineRule="auto"/>
        <w:jc w:val="center"/>
      </w:pPr>
      <w:r>
        <w:rPr>
          <w:sz w:val="28"/>
        </w:rPr>
        <w:t>Bilješka 13.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367E91" w14:paraId="438DCE01"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5C5BB79" w14:textId="77777777" w:rsidR="00367E91" w:rsidRDefault="002B0324">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3DB61522" w14:textId="77777777" w:rsidR="00367E91" w:rsidRDefault="002B0324">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D557CB7" w14:textId="77777777" w:rsidR="00367E91" w:rsidRDefault="002B0324">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39E3746" w14:textId="77777777" w:rsidR="00367E91" w:rsidRDefault="002B0324">
            <w:pPr>
              <w:keepNext/>
              <w:keepLines/>
              <w:spacing w:after="0" w:line="240" w:lineRule="auto"/>
              <w:jc w:val="center"/>
            </w:pPr>
            <w:r>
              <w:rPr>
                <w:b/>
                <w:sz w:val="18"/>
              </w:rPr>
              <w:t>Ostvareno u izvještajnom razdoblju prethodne god</w:t>
            </w:r>
            <w:r>
              <w:rPr>
                <w:b/>
                <w:sz w:val="18"/>
              </w:rPr>
              <w:t>ine</w:t>
            </w:r>
          </w:p>
        </w:tc>
        <w:tc>
          <w:tcPr>
            <w:tcW w:w="1860" w:type="dxa"/>
            <w:shd w:val="clear" w:color="auto" w:fill="E7F0F9"/>
            <w:tcMar>
              <w:top w:w="0" w:type="dxa"/>
              <w:bottom w:w="0" w:type="dxa"/>
            </w:tcMar>
            <w:vAlign w:val="center"/>
          </w:tcPr>
          <w:p w14:paraId="07BB3427" w14:textId="77777777" w:rsidR="00367E91" w:rsidRDefault="002B0324">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3CC66BA" w14:textId="77777777" w:rsidR="00367E91" w:rsidRDefault="002B0324">
            <w:pPr>
              <w:keepNext/>
              <w:keepLines/>
              <w:spacing w:after="0" w:line="240" w:lineRule="auto"/>
              <w:jc w:val="center"/>
            </w:pPr>
            <w:r>
              <w:rPr>
                <w:b/>
                <w:sz w:val="18"/>
              </w:rPr>
              <w:t>Indeks (%)</w:t>
            </w:r>
          </w:p>
        </w:tc>
      </w:tr>
      <w:tr w:rsidR="00367E91" w14:paraId="77FE6140" w14:textId="77777777">
        <w:tblPrEx>
          <w:tblCellMar>
            <w:top w:w="0" w:type="dxa"/>
            <w:bottom w:w="0" w:type="dxa"/>
          </w:tblCellMar>
        </w:tblPrEx>
        <w:trPr>
          <w:cantSplit/>
          <w:trHeight w:val="560"/>
        </w:trPr>
        <w:tc>
          <w:tcPr>
            <w:tcW w:w="700" w:type="dxa"/>
            <w:tcMar>
              <w:top w:w="0" w:type="dxa"/>
              <w:bottom w:w="0" w:type="dxa"/>
            </w:tcMar>
            <w:vAlign w:val="center"/>
          </w:tcPr>
          <w:p w14:paraId="3224CD70" w14:textId="77777777" w:rsidR="00367E91" w:rsidRDefault="002B0324">
            <w:pPr>
              <w:keepNext/>
              <w:keepLines/>
              <w:spacing w:after="0" w:line="240" w:lineRule="auto"/>
            </w:pPr>
            <w:r>
              <w:rPr>
                <w:sz w:val="18"/>
              </w:rPr>
              <w:t>313</w:t>
            </w:r>
          </w:p>
        </w:tc>
        <w:tc>
          <w:tcPr>
            <w:tcW w:w="3180" w:type="dxa"/>
            <w:tcMar>
              <w:top w:w="0" w:type="dxa"/>
              <w:bottom w:w="0" w:type="dxa"/>
            </w:tcMar>
            <w:vAlign w:val="center"/>
          </w:tcPr>
          <w:p w14:paraId="48EA09B2" w14:textId="77777777" w:rsidR="00367E91" w:rsidRDefault="002B0324">
            <w:pPr>
              <w:keepNext/>
              <w:keepLines/>
              <w:spacing w:after="0" w:line="240" w:lineRule="auto"/>
            </w:pPr>
            <w:r>
              <w:rPr>
                <w:sz w:val="18"/>
              </w:rPr>
              <w:t>Doprinosi na plaće (šifre 3131 do 3133)</w:t>
            </w:r>
          </w:p>
        </w:tc>
        <w:tc>
          <w:tcPr>
            <w:tcW w:w="700" w:type="dxa"/>
            <w:tcMar>
              <w:top w:w="0" w:type="dxa"/>
              <w:bottom w:w="0" w:type="dxa"/>
            </w:tcMar>
            <w:vAlign w:val="center"/>
          </w:tcPr>
          <w:p w14:paraId="5582BA7E" w14:textId="77777777" w:rsidR="00367E91" w:rsidRDefault="002B0324">
            <w:pPr>
              <w:keepNext/>
              <w:keepLines/>
              <w:spacing w:after="0" w:line="240" w:lineRule="auto"/>
            </w:pPr>
            <w:r>
              <w:rPr>
                <w:sz w:val="18"/>
              </w:rPr>
              <w:t>313</w:t>
            </w:r>
          </w:p>
        </w:tc>
        <w:tc>
          <w:tcPr>
            <w:tcW w:w="1860" w:type="dxa"/>
            <w:tcMar>
              <w:top w:w="0" w:type="dxa"/>
              <w:bottom w:w="0" w:type="dxa"/>
            </w:tcMar>
            <w:vAlign w:val="center"/>
          </w:tcPr>
          <w:p w14:paraId="133962E5" w14:textId="77777777" w:rsidR="00367E91" w:rsidRDefault="002B0324">
            <w:pPr>
              <w:keepNext/>
              <w:keepLines/>
              <w:spacing w:after="0" w:line="240" w:lineRule="auto"/>
              <w:jc w:val="right"/>
            </w:pPr>
            <w:r>
              <w:rPr>
                <w:sz w:val="18"/>
              </w:rPr>
              <w:t>621.826,11</w:t>
            </w:r>
          </w:p>
        </w:tc>
        <w:tc>
          <w:tcPr>
            <w:tcW w:w="1860" w:type="dxa"/>
            <w:tcMar>
              <w:top w:w="0" w:type="dxa"/>
              <w:bottom w:w="0" w:type="dxa"/>
            </w:tcMar>
            <w:vAlign w:val="center"/>
          </w:tcPr>
          <w:p w14:paraId="1B93ACFB" w14:textId="77777777" w:rsidR="00367E91" w:rsidRDefault="002B0324">
            <w:pPr>
              <w:keepNext/>
              <w:keepLines/>
              <w:spacing w:after="0" w:line="240" w:lineRule="auto"/>
              <w:jc w:val="right"/>
            </w:pPr>
            <w:r>
              <w:rPr>
                <w:sz w:val="18"/>
              </w:rPr>
              <w:t>696.125,76</w:t>
            </w:r>
          </w:p>
        </w:tc>
        <w:tc>
          <w:tcPr>
            <w:tcW w:w="700" w:type="dxa"/>
            <w:tcMar>
              <w:top w:w="0" w:type="dxa"/>
              <w:bottom w:w="0" w:type="dxa"/>
            </w:tcMar>
            <w:vAlign w:val="center"/>
          </w:tcPr>
          <w:p w14:paraId="0B5FDF18" w14:textId="77777777" w:rsidR="00367E91" w:rsidRDefault="002B0324">
            <w:pPr>
              <w:keepNext/>
              <w:keepLines/>
              <w:spacing w:after="0" w:line="240" w:lineRule="auto"/>
              <w:jc w:val="right"/>
            </w:pPr>
            <w:r>
              <w:rPr>
                <w:sz w:val="18"/>
              </w:rPr>
              <w:t>111,9</w:t>
            </w:r>
          </w:p>
        </w:tc>
      </w:tr>
    </w:tbl>
    <w:p w14:paraId="74E5C3AA" w14:textId="77777777" w:rsidR="00367E91" w:rsidRDefault="00367E91">
      <w:pPr>
        <w:spacing w:after="0"/>
      </w:pPr>
    </w:p>
    <w:p w14:paraId="2D9054DC" w14:textId="77777777" w:rsidR="00367E91" w:rsidRDefault="002B0324">
      <w:r>
        <w:t>objašnjeno pod 3111</w:t>
      </w:r>
    </w:p>
    <w:p w14:paraId="15143864" w14:textId="77777777" w:rsidR="00367E91" w:rsidRDefault="00367E91"/>
    <w:p w14:paraId="43C41E35" w14:textId="77777777" w:rsidR="00367E91" w:rsidRDefault="002B0324">
      <w:pPr>
        <w:keepNext/>
        <w:spacing w:line="240" w:lineRule="auto"/>
        <w:jc w:val="center"/>
      </w:pPr>
      <w:r>
        <w:rPr>
          <w:sz w:val="28"/>
        </w:rPr>
        <w:t>Bilješka 14.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367E91" w14:paraId="77BC5B4F"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5C7B4D7" w14:textId="77777777" w:rsidR="00367E91" w:rsidRDefault="002B0324">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697170EC" w14:textId="77777777" w:rsidR="00367E91" w:rsidRDefault="002B0324">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005FF40" w14:textId="77777777" w:rsidR="00367E91" w:rsidRDefault="002B0324">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11E1B35" w14:textId="77777777" w:rsidR="00367E91" w:rsidRDefault="002B0324">
            <w:pPr>
              <w:keepNext/>
              <w:keepLines/>
              <w:spacing w:after="0" w:line="240" w:lineRule="auto"/>
              <w:jc w:val="center"/>
            </w:pPr>
            <w:r>
              <w:rPr>
                <w:b/>
                <w:sz w:val="18"/>
              </w:rPr>
              <w:t xml:space="preserve">Ostvareno u izvještajnom </w:t>
            </w:r>
            <w:r>
              <w:rPr>
                <w:b/>
                <w:sz w:val="18"/>
              </w:rPr>
              <w:t>razdoblju prethodne godine</w:t>
            </w:r>
          </w:p>
        </w:tc>
        <w:tc>
          <w:tcPr>
            <w:tcW w:w="1860" w:type="dxa"/>
            <w:shd w:val="clear" w:color="auto" w:fill="E7F0F9"/>
            <w:tcMar>
              <w:top w:w="0" w:type="dxa"/>
              <w:bottom w:w="0" w:type="dxa"/>
            </w:tcMar>
            <w:vAlign w:val="center"/>
          </w:tcPr>
          <w:p w14:paraId="3B069BBE" w14:textId="77777777" w:rsidR="00367E91" w:rsidRDefault="002B0324">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791998D" w14:textId="77777777" w:rsidR="00367E91" w:rsidRDefault="002B0324">
            <w:pPr>
              <w:keepNext/>
              <w:keepLines/>
              <w:spacing w:after="0" w:line="240" w:lineRule="auto"/>
              <w:jc w:val="center"/>
            </w:pPr>
            <w:r>
              <w:rPr>
                <w:b/>
                <w:sz w:val="18"/>
              </w:rPr>
              <w:t>Indeks (%)</w:t>
            </w:r>
          </w:p>
        </w:tc>
      </w:tr>
      <w:tr w:rsidR="00367E91" w14:paraId="1A8DEAAB" w14:textId="77777777">
        <w:tblPrEx>
          <w:tblCellMar>
            <w:top w:w="0" w:type="dxa"/>
            <w:bottom w:w="0" w:type="dxa"/>
          </w:tblCellMar>
        </w:tblPrEx>
        <w:trPr>
          <w:cantSplit/>
          <w:trHeight w:val="560"/>
        </w:trPr>
        <w:tc>
          <w:tcPr>
            <w:tcW w:w="700" w:type="dxa"/>
            <w:tcMar>
              <w:top w:w="0" w:type="dxa"/>
              <w:bottom w:w="0" w:type="dxa"/>
            </w:tcMar>
            <w:vAlign w:val="center"/>
          </w:tcPr>
          <w:p w14:paraId="1007E288" w14:textId="77777777" w:rsidR="00367E91" w:rsidRDefault="002B0324">
            <w:pPr>
              <w:keepNext/>
              <w:keepLines/>
              <w:spacing w:after="0" w:line="240" w:lineRule="auto"/>
            </w:pPr>
            <w:r>
              <w:rPr>
                <w:sz w:val="18"/>
              </w:rPr>
              <w:t>3211</w:t>
            </w:r>
          </w:p>
        </w:tc>
        <w:tc>
          <w:tcPr>
            <w:tcW w:w="3180" w:type="dxa"/>
            <w:tcMar>
              <w:top w:w="0" w:type="dxa"/>
              <w:bottom w:w="0" w:type="dxa"/>
            </w:tcMar>
            <w:vAlign w:val="center"/>
          </w:tcPr>
          <w:p w14:paraId="198A4690" w14:textId="77777777" w:rsidR="00367E91" w:rsidRDefault="002B0324">
            <w:pPr>
              <w:keepNext/>
              <w:keepLines/>
              <w:spacing w:after="0" w:line="240" w:lineRule="auto"/>
            </w:pPr>
            <w:r>
              <w:rPr>
                <w:sz w:val="18"/>
              </w:rPr>
              <w:t>Službena putovanja</w:t>
            </w:r>
          </w:p>
        </w:tc>
        <w:tc>
          <w:tcPr>
            <w:tcW w:w="700" w:type="dxa"/>
            <w:tcMar>
              <w:top w:w="0" w:type="dxa"/>
              <w:bottom w:w="0" w:type="dxa"/>
            </w:tcMar>
            <w:vAlign w:val="center"/>
          </w:tcPr>
          <w:p w14:paraId="68C1BCE7" w14:textId="77777777" w:rsidR="00367E91" w:rsidRDefault="002B0324">
            <w:pPr>
              <w:keepNext/>
              <w:keepLines/>
              <w:spacing w:after="0" w:line="240" w:lineRule="auto"/>
            </w:pPr>
            <w:r>
              <w:rPr>
                <w:sz w:val="18"/>
              </w:rPr>
              <w:t>3211</w:t>
            </w:r>
          </w:p>
        </w:tc>
        <w:tc>
          <w:tcPr>
            <w:tcW w:w="1860" w:type="dxa"/>
            <w:tcMar>
              <w:top w:w="0" w:type="dxa"/>
              <w:bottom w:w="0" w:type="dxa"/>
            </w:tcMar>
            <w:vAlign w:val="center"/>
          </w:tcPr>
          <w:p w14:paraId="6B78EBC4" w14:textId="77777777" w:rsidR="00367E91" w:rsidRDefault="002B0324">
            <w:pPr>
              <w:keepNext/>
              <w:keepLines/>
              <w:spacing w:after="0" w:line="240" w:lineRule="auto"/>
              <w:jc w:val="right"/>
            </w:pPr>
            <w:r>
              <w:rPr>
                <w:sz w:val="18"/>
              </w:rPr>
              <w:t>67.398,34</w:t>
            </w:r>
          </w:p>
        </w:tc>
        <w:tc>
          <w:tcPr>
            <w:tcW w:w="1860" w:type="dxa"/>
            <w:tcMar>
              <w:top w:w="0" w:type="dxa"/>
              <w:bottom w:w="0" w:type="dxa"/>
            </w:tcMar>
            <w:vAlign w:val="center"/>
          </w:tcPr>
          <w:p w14:paraId="18F9B617" w14:textId="77777777" w:rsidR="00367E91" w:rsidRDefault="002B0324">
            <w:pPr>
              <w:keepNext/>
              <w:keepLines/>
              <w:spacing w:after="0" w:line="240" w:lineRule="auto"/>
              <w:jc w:val="right"/>
            </w:pPr>
            <w:r>
              <w:rPr>
                <w:sz w:val="18"/>
              </w:rPr>
              <w:t>83.444,53</w:t>
            </w:r>
          </w:p>
        </w:tc>
        <w:tc>
          <w:tcPr>
            <w:tcW w:w="700" w:type="dxa"/>
            <w:tcMar>
              <w:top w:w="0" w:type="dxa"/>
              <w:bottom w:w="0" w:type="dxa"/>
            </w:tcMar>
            <w:vAlign w:val="center"/>
          </w:tcPr>
          <w:p w14:paraId="3ECB5BCF" w14:textId="77777777" w:rsidR="00367E91" w:rsidRDefault="002B0324">
            <w:pPr>
              <w:keepNext/>
              <w:keepLines/>
              <w:spacing w:after="0" w:line="240" w:lineRule="auto"/>
              <w:jc w:val="right"/>
            </w:pPr>
            <w:r>
              <w:rPr>
                <w:sz w:val="18"/>
              </w:rPr>
              <w:t>123,8</w:t>
            </w:r>
          </w:p>
        </w:tc>
      </w:tr>
    </w:tbl>
    <w:p w14:paraId="51706D20" w14:textId="77777777" w:rsidR="00367E91" w:rsidRDefault="00367E91">
      <w:pPr>
        <w:spacing w:after="0"/>
      </w:pPr>
    </w:p>
    <w:p w14:paraId="611737A5" w14:textId="77777777" w:rsidR="00367E91" w:rsidRDefault="002B0324">
      <w:r>
        <w:t>u 2025. godini su rashodi za službeno putovanje porast zbog odlaska na konferencije radi diseminacije znanstvenih radova na internim projektima i znanstvenoj djelatnosti; putovanje zbog aktivnosti na  projektima UNIPAR i EUGEQUALITY  </w:t>
      </w:r>
    </w:p>
    <w:p w14:paraId="52BE98AC" w14:textId="77777777" w:rsidR="00367E91" w:rsidRDefault="00367E91"/>
    <w:p w14:paraId="74F3CF41" w14:textId="77777777" w:rsidR="00367E91" w:rsidRDefault="002B0324">
      <w:pPr>
        <w:keepNext/>
        <w:spacing w:line="240" w:lineRule="auto"/>
        <w:jc w:val="center"/>
      </w:pPr>
      <w:r>
        <w:rPr>
          <w:sz w:val="28"/>
        </w:rPr>
        <w:lastRenderedPageBreak/>
        <w:t>Bilješka 15.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367E91" w14:paraId="7435D02A"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862E979" w14:textId="77777777" w:rsidR="00367E91" w:rsidRDefault="002B0324">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15A3A059" w14:textId="77777777" w:rsidR="00367E91" w:rsidRDefault="002B0324">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14B448F" w14:textId="77777777" w:rsidR="00367E91" w:rsidRDefault="002B0324">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F91EDB3" w14:textId="77777777" w:rsidR="00367E91" w:rsidRDefault="002B0324">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C58DE5F" w14:textId="77777777" w:rsidR="00367E91" w:rsidRDefault="002B0324">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8579D2F" w14:textId="77777777" w:rsidR="00367E91" w:rsidRDefault="002B0324">
            <w:pPr>
              <w:keepNext/>
              <w:keepLines/>
              <w:spacing w:after="0" w:line="240" w:lineRule="auto"/>
              <w:jc w:val="center"/>
            </w:pPr>
            <w:r>
              <w:rPr>
                <w:b/>
                <w:sz w:val="18"/>
              </w:rPr>
              <w:t>Indeks (%)</w:t>
            </w:r>
          </w:p>
        </w:tc>
      </w:tr>
      <w:tr w:rsidR="00367E91" w14:paraId="56E4BFC7" w14:textId="77777777">
        <w:tblPrEx>
          <w:tblCellMar>
            <w:top w:w="0" w:type="dxa"/>
            <w:bottom w:w="0" w:type="dxa"/>
          </w:tblCellMar>
        </w:tblPrEx>
        <w:trPr>
          <w:cantSplit/>
          <w:trHeight w:val="560"/>
        </w:trPr>
        <w:tc>
          <w:tcPr>
            <w:tcW w:w="700" w:type="dxa"/>
            <w:tcMar>
              <w:top w:w="0" w:type="dxa"/>
              <w:bottom w:w="0" w:type="dxa"/>
            </w:tcMar>
            <w:vAlign w:val="center"/>
          </w:tcPr>
          <w:p w14:paraId="4F7FCF05" w14:textId="77777777" w:rsidR="00367E91" w:rsidRDefault="002B0324">
            <w:pPr>
              <w:keepNext/>
              <w:keepLines/>
              <w:spacing w:after="0" w:line="240" w:lineRule="auto"/>
            </w:pPr>
            <w:r>
              <w:rPr>
                <w:sz w:val="18"/>
              </w:rPr>
              <w:t>3212</w:t>
            </w:r>
          </w:p>
        </w:tc>
        <w:tc>
          <w:tcPr>
            <w:tcW w:w="3180" w:type="dxa"/>
            <w:tcMar>
              <w:top w:w="0" w:type="dxa"/>
              <w:bottom w:w="0" w:type="dxa"/>
            </w:tcMar>
            <w:vAlign w:val="center"/>
          </w:tcPr>
          <w:p w14:paraId="7535E514" w14:textId="77777777" w:rsidR="00367E91" w:rsidRDefault="002B0324">
            <w:pPr>
              <w:keepNext/>
              <w:keepLines/>
              <w:spacing w:after="0" w:line="240" w:lineRule="auto"/>
            </w:pPr>
            <w:r>
              <w:rPr>
                <w:sz w:val="18"/>
              </w:rPr>
              <w:t>Naknade za prijevoz, za rad na terenu i odvojeni život</w:t>
            </w:r>
          </w:p>
        </w:tc>
        <w:tc>
          <w:tcPr>
            <w:tcW w:w="700" w:type="dxa"/>
            <w:tcMar>
              <w:top w:w="0" w:type="dxa"/>
              <w:bottom w:w="0" w:type="dxa"/>
            </w:tcMar>
            <w:vAlign w:val="center"/>
          </w:tcPr>
          <w:p w14:paraId="2FA2308B" w14:textId="77777777" w:rsidR="00367E91" w:rsidRDefault="002B0324">
            <w:pPr>
              <w:keepNext/>
              <w:keepLines/>
              <w:spacing w:after="0" w:line="240" w:lineRule="auto"/>
            </w:pPr>
            <w:r>
              <w:rPr>
                <w:sz w:val="18"/>
              </w:rPr>
              <w:t>3212</w:t>
            </w:r>
          </w:p>
        </w:tc>
        <w:tc>
          <w:tcPr>
            <w:tcW w:w="1860" w:type="dxa"/>
            <w:tcMar>
              <w:top w:w="0" w:type="dxa"/>
              <w:bottom w:w="0" w:type="dxa"/>
            </w:tcMar>
            <w:vAlign w:val="center"/>
          </w:tcPr>
          <w:p w14:paraId="7C2D1D22" w14:textId="77777777" w:rsidR="00367E91" w:rsidRDefault="002B0324">
            <w:pPr>
              <w:keepNext/>
              <w:keepLines/>
              <w:spacing w:after="0" w:line="240" w:lineRule="auto"/>
              <w:jc w:val="right"/>
            </w:pPr>
            <w:r>
              <w:rPr>
                <w:sz w:val="18"/>
              </w:rPr>
              <w:t>42.490,78</w:t>
            </w:r>
          </w:p>
        </w:tc>
        <w:tc>
          <w:tcPr>
            <w:tcW w:w="1860" w:type="dxa"/>
            <w:tcMar>
              <w:top w:w="0" w:type="dxa"/>
              <w:bottom w:w="0" w:type="dxa"/>
            </w:tcMar>
            <w:vAlign w:val="center"/>
          </w:tcPr>
          <w:p w14:paraId="69C39CFB" w14:textId="77777777" w:rsidR="00367E91" w:rsidRDefault="002B0324">
            <w:pPr>
              <w:keepNext/>
              <w:keepLines/>
              <w:spacing w:after="0" w:line="240" w:lineRule="auto"/>
              <w:jc w:val="right"/>
            </w:pPr>
            <w:r>
              <w:rPr>
                <w:sz w:val="18"/>
              </w:rPr>
              <w:t>50.669,99</w:t>
            </w:r>
          </w:p>
        </w:tc>
        <w:tc>
          <w:tcPr>
            <w:tcW w:w="700" w:type="dxa"/>
            <w:tcMar>
              <w:top w:w="0" w:type="dxa"/>
              <w:bottom w:w="0" w:type="dxa"/>
            </w:tcMar>
            <w:vAlign w:val="center"/>
          </w:tcPr>
          <w:p w14:paraId="106A3E4D" w14:textId="77777777" w:rsidR="00367E91" w:rsidRDefault="002B0324">
            <w:pPr>
              <w:keepNext/>
              <w:keepLines/>
              <w:spacing w:after="0" w:line="240" w:lineRule="auto"/>
              <w:jc w:val="right"/>
            </w:pPr>
            <w:r>
              <w:rPr>
                <w:sz w:val="18"/>
              </w:rPr>
              <w:t>119,2</w:t>
            </w:r>
          </w:p>
        </w:tc>
      </w:tr>
    </w:tbl>
    <w:p w14:paraId="209E0ACA" w14:textId="77777777" w:rsidR="00367E91" w:rsidRDefault="00367E91">
      <w:pPr>
        <w:spacing w:after="0"/>
      </w:pPr>
    </w:p>
    <w:p w14:paraId="6A10A486" w14:textId="77777777" w:rsidR="00367E91" w:rsidRDefault="002B0324">
      <w:r>
        <w:t>zbog povećanja broja zaposlenih  u 2025. godini porastao je rashod putovanja na posao i s posla.</w:t>
      </w:r>
    </w:p>
    <w:p w14:paraId="1B848AEA" w14:textId="77777777" w:rsidR="00367E91" w:rsidRDefault="00367E91"/>
    <w:p w14:paraId="46D1EB81" w14:textId="77777777" w:rsidR="00367E91" w:rsidRDefault="002B0324">
      <w:pPr>
        <w:keepNext/>
        <w:spacing w:line="240" w:lineRule="auto"/>
        <w:jc w:val="center"/>
      </w:pPr>
      <w:r>
        <w:rPr>
          <w:sz w:val="28"/>
        </w:rPr>
        <w:t>Bilješka 16.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367E91" w14:paraId="2E629B6D"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E448C0D" w14:textId="77777777" w:rsidR="00367E91" w:rsidRDefault="002B0324">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26BDC6E9" w14:textId="77777777" w:rsidR="00367E91" w:rsidRDefault="002B0324">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984999B" w14:textId="77777777" w:rsidR="00367E91" w:rsidRDefault="002B0324">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F05BBA8" w14:textId="77777777" w:rsidR="00367E91" w:rsidRDefault="002B0324">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9FCE889" w14:textId="77777777" w:rsidR="00367E91" w:rsidRDefault="002B0324">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67194B4" w14:textId="77777777" w:rsidR="00367E91" w:rsidRDefault="002B0324">
            <w:pPr>
              <w:keepNext/>
              <w:keepLines/>
              <w:spacing w:after="0" w:line="240" w:lineRule="auto"/>
              <w:jc w:val="center"/>
            </w:pPr>
            <w:r>
              <w:rPr>
                <w:b/>
                <w:sz w:val="18"/>
              </w:rPr>
              <w:t>Indeks</w:t>
            </w:r>
            <w:r>
              <w:rPr>
                <w:b/>
                <w:sz w:val="18"/>
              </w:rPr>
              <w:t xml:space="preserve"> (%)</w:t>
            </w:r>
          </w:p>
        </w:tc>
      </w:tr>
      <w:tr w:rsidR="00367E91" w14:paraId="109F9DF1" w14:textId="77777777">
        <w:tblPrEx>
          <w:tblCellMar>
            <w:top w:w="0" w:type="dxa"/>
            <w:bottom w:w="0" w:type="dxa"/>
          </w:tblCellMar>
        </w:tblPrEx>
        <w:trPr>
          <w:cantSplit/>
          <w:trHeight w:val="560"/>
        </w:trPr>
        <w:tc>
          <w:tcPr>
            <w:tcW w:w="700" w:type="dxa"/>
            <w:tcMar>
              <w:top w:w="0" w:type="dxa"/>
              <w:bottom w:w="0" w:type="dxa"/>
            </w:tcMar>
            <w:vAlign w:val="center"/>
          </w:tcPr>
          <w:p w14:paraId="17F17CDE" w14:textId="77777777" w:rsidR="00367E91" w:rsidRDefault="002B0324">
            <w:pPr>
              <w:keepNext/>
              <w:keepLines/>
              <w:spacing w:after="0" w:line="240" w:lineRule="auto"/>
            </w:pPr>
            <w:r>
              <w:rPr>
                <w:sz w:val="18"/>
              </w:rPr>
              <w:t>3213</w:t>
            </w:r>
          </w:p>
        </w:tc>
        <w:tc>
          <w:tcPr>
            <w:tcW w:w="3180" w:type="dxa"/>
            <w:tcMar>
              <w:top w:w="0" w:type="dxa"/>
              <w:bottom w:w="0" w:type="dxa"/>
            </w:tcMar>
            <w:vAlign w:val="center"/>
          </w:tcPr>
          <w:p w14:paraId="26500314" w14:textId="77777777" w:rsidR="00367E91" w:rsidRDefault="002B0324">
            <w:pPr>
              <w:keepNext/>
              <w:keepLines/>
              <w:spacing w:after="0" w:line="240" w:lineRule="auto"/>
            </w:pPr>
            <w:r>
              <w:rPr>
                <w:sz w:val="18"/>
              </w:rPr>
              <w:t>Stručno usavršavanje zaposlenika</w:t>
            </w:r>
          </w:p>
        </w:tc>
        <w:tc>
          <w:tcPr>
            <w:tcW w:w="700" w:type="dxa"/>
            <w:tcMar>
              <w:top w:w="0" w:type="dxa"/>
              <w:bottom w:w="0" w:type="dxa"/>
            </w:tcMar>
            <w:vAlign w:val="center"/>
          </w:tcPr>
          <w:p w14:paraId="6692D31B" w14:textId="77777777" w:rsidR="00367E91" w:rsidRDefault="002B0324">
            <w:pPr>
              <w:keepNext/>
              <w:keepLines/>
              <w:spacing w:after="0" w:line="240" w:lineRule="auto"/>
            </w:pPr>
            <w:r>
              <w:rPr>
                <w:sz w:val="18"/>
              </w:rPr>
              <w:t>3213</w:t>
            </w:r>
          </w:p>
        </w:tc>
        <w:tc>
          <w:tcPr>
            <w:tcW w:w="1860" w:type="dxa"/>
            <w:tcMar>
              <w:top w:w="0" w:type="dxa"/>
              <w:bottom w:w="0" w:type="dxa"/>
            </w:tcMar>
            <w:vAlign w:val="center"/>
          </w:tcPr>
          <w:p w14:paraId="29B99F88" w14:textId="77777777" w:rsidR="00367E91" w:rsidRDefault="002B0324">
            <w:pPr>
              <w:keepNext/>
              <w:keepLines/>
              <w:spacing w:after="0" w:line="240" w:lineRule="auto"/>
              <w:jc w:val="right"/>
            </w:pPr>
            <w:r>
              <w:rPr>
                <w:sz w:val="18"/>
              </w:rPr>
              <w:t>35.571,02</w:t>
            </w:r>
          </w:p>
        </w:tc>
        <w:tc>
          <w:tcPr>
            <w:tcW w:w="1860" w:type="dxa"/>
            <w:tcMar>
              <w:top w:w="0" w:type="dxa"/>
              <w:bottom w:w="0" w:type="dxa"/>
            </w:tcMar>
            <w:vAlign w:val="center"/>
          </w:tcPr>
          <w:p w14:paraId="5129ED63" w14:textId="77777777" w:rsidR="00367E91" w:rsidRDefault="002B0324">
            <w:pPr>
              <w:keepNext/>
              <w:keepLines/>
              <w:spacing w:after="0" w:line="240" w:lineRule="auto"/>
              <w:jc w:val="right"/>
            </w:pPr>
            <w:r>
              <w:rPr>
                <w:sz w:val="18"/>
              </w:rPr>
              <w:t>55.104,00</w:t>
            </w:r>
          </w:p>
        </w:tc>
        <w:tc>
          <w:tcPr>
            <w:tcW w:w="700" w:type="dxa"/>
            <w:tcMar>
              <w:top w:w="0" w:type="dxa"/>
              <w:bottom w:w="0" w:type="dxa"/>
            </w:tcMar>
            <w:vAlign w:val="center"/>
          </w:tcPr>
          <w:p w14:paraId="5084C5A8" w14:textId="77777777" w:rsidR="00367E91" w:rsidRDefault="002B0324">
            <w:pPr>
              <w:keepNext/>
              <w:keepLines/>
              <w:spacing w:after="0" w:line="240" w:lineRule="auto"/>
              <w:jc w:val="right"/>
            </w:pPr>
            <w:r>
              <w:rPr>
                <w:sz w:val="18"/>
              </w:rPr>
              <w:t>154,9</w:t>
            </w:r>
          </w:p>
        </w:tc>
      </w:tr>
    </w:tbl>
    <w:p w14:paraId="567AED35" w14:textId="77777777" w:rsidR="00367E91" w:rsidRDefault="00367E91">
      <w:pPr>
        <w:spacing w:after="0"/>
      </w:pPr>
    </w:p>
    <w:p w14:paraId="44EAEF1B" w14:textId="77777777" w:rsidR="00367E91" w:rsidRDefault="002B0324">
      <w:r>
        <w:t>veća Erasmus+ mobilnost zaposlenika u 2025., povćani troškovi stručnog usavršavanja zaposlenika</w:t>
      </w:r>
    </w:p>
    <w:p w14:paraId="03E3CB62" w14:textId="77777777" w:rsidR="00367E91" w:rsidRDefault="00367E91"/>
    <w:p w14:paraId="54FE29A5" w14:textId="77777777" w:rsidR="00367E91" w:rsidRDefault="002B0324">
      <w:pPr>
        <w:keepNext/>
        <w:spacing w:line="240" w:lineRule="auto"/>
        <w:jc w:val="center"/>
      </w:pPr>
      <w:r>
        <w:rPr>
          <w:sz w:val="28"/>
        </w:rPr>
        <w:t>Bilješka 17.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367E91" w14:paraId="58ED5ACA"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5907DE0" w14:textId="77777777" w:rsidR="00367E91" w:rsidRDefault="002B0324">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0339D98A" w14:textId="77777777" w:rsidR="00367E91" w:rsidRDefault="002B0324">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D5B2A78" w14:textId="77777777" w:rsidR="00367E91" w:rsidRDefault="002B0324">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D79254D" w14:textId="77777777" w:rsidR="00367E91" w:rsidRDefault="002B0324">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B98AE12" w14:textId="77777777" w:rsidR="00367E91" w:rsidRDefault="002B0324">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B5AE419" w14:textId="77777777" w:rsidR="00367E91" w:rsidRDefault="002B0324">
            <w:pPr>
              <w:keepNext/>
              <w:keepLines/>
              <w:spacing w:after="0" w:line="240" w:lineRule="auto"/>
              <w:jc w:val="center"/>
            </w:pPr>
            <w:r>
              <w:rPr>
                <w:b/>
                <w:sz w:val="18"/>
              </w:rPr>
              <w:t xml:space="preserve">Indeks </w:t>
            </w:r>
            <w:r>
              <w:rPr>
                <w:b/>
                <w:sz w:val="18"/>
              </w:rPr>
              <w:t>(%)</w:t>
            </w:r>
          </w:p>
        </w:tc>
      </w:tr>
      <w:tr w:rsidR="00367E91" w14:paraId="37357960" w14:textId="77777777">
        <w:tblPrEx>
          <w:tblCellMar>
            <w:top w:w="0" w:type="dxa"/>
            <w:bottom w:w="0" w:type="dxa"/>
          </w:tblCellMar>
        </w:tblPrEx>
        <w:trPr>
          <w:cantSplit/>
          <w:trHeight w:val="560"/>
        </w:trPr>
        <w:tc>
          <w:tcPr>
            <w:tcW w:w="700" w:type="dxa"/>
            <w:tcMar>
              <w:top w:w="0" w:type="dxa"/>
              <w:bottom w:w="0" w:type="dxa"/>
            </w:tcMar>
            <w:vAlign w:val="center"/>
          </w:tcPr>
          <w:p w14:paraId="24C0CAB4" w14:textId="77777777" w:rsidR="00367E91" w:rsidRDefault="002B0324">
            <w:pPr>
              <w:keepNext/>
              <w:keepLines/>
              <w:spacing w:after="0" w:line="240" w:lineRule="auto"/>
            </w:pPr>
            <w:r>
              <w:rPr>
                <w:sz w:val="18"/>
              </w:rPr>
              <w:t>3214</w:t>
            </w:r>
          </w:p>
        </w:tc>
        <w:tc>
          <w:tcPr>
            <w:tcW w:w="3180" w:type="dxa"/>
            <w:tcMar>
              <w:top w:w="0" w:type="dxa"/>
              <w:bottom w:w="0" w:type="dxa"/>
            </w:tcMar>
            <w:vAlign w:val="center"/>
          </w:tcPr>
          <w:p w14:paraId="132D34A2" w14:textId="77777777" w:rsidR="00367E91" w:rsidRDefault="002B0324">
            <w:pPr>
              <w:keepNext/>
              <w:keepLines/>
              <w:spacing w:after="0" w:line="240" w:lineRule="auto"/>
            </w:pPr>
            <w:r>
              <w:rPr>
                <w:sz w:val="18"/>
              </w:rPr>
              <w:t>Ostale naknade troškova zaposlenima</w:t>
            </w:r>
          </w:p>
        </w:tc>
        <w:tc>
          <w:tcPr>
            <w:tcW w:w="700" w:type="dxa"/>
            <w:tcMar>
              <w:top w:w="0" w:type="dxa"/>
              <w:bottom w:w="0" w:type="dxa"/>
            </w:tcMar>
            <w:vAlign w:val="center"/>
          </w:tcPr>
          <w:p w14:paraId="4848EB24" w14:textId="77777777" w:rsidR="00367E91" w:rsidRDefault="002B0324">
            <w:pPr>
              <w:keepNext/>
              <w:keepLines/>
              <w:spacing w:after="0" w:line="240" w:lineRule="auto"/>
            </w:pPr>
            <w:r>
              <w:rPr>
                <w:sz w:val="18"/>
              </w:rPr>
              <w:t>3214</w:t>
            </w:r>
          </w:p>
        </w:tc>
        <w:tc>
          <w:tcPr>
            <w:tcW w:w="1860" w:type="dxa"/>
            <w:tcMar>
              <w:top w:w="0" w:type="dxa"/>
              <w:bottom w:w="0" w:type="dxa"/>
            </w:tcMar>
            <w:vAlign w:val="center"/>
          </w:tcPr>
          <w:p w14:paraId="30719813" w14:textId="77777777" w:rsidR="00367E91" w:rsidRDefault="002B0324">
            <w:pPr>
              <w:keepNext/>
              <w:keepLines/>
              <w:spacing w:after="0" w:line="240" w:lineRule="auto"/>
              <w:jc w:val="right"/>
            </w:pPr>
            <w:r>
              <w:rPr>
                <w:sz w:val="18"/>
              </w:rPr>
              <w:t>77,22</w:t>
            </w:r>
          </w:p>
        </w:tc>
        <w:tc>
          <w:tcPr>
            <w:tcW w:w="1860" w:type="dxa"/>
            <w:tcMar>
              <w:top w:w="0" w:type="dxa"/>
              <w:bottom w:w="0" w:type="dxa"/>
            </w:tcMar>
            <w:vAlign w:val="center"/>
          </w:tcPr>
          <w:p w14:paraId="10E3DC22" w14:textId="77777777" w:rsidR="00367E91" w:rsidRDefault="002B0324">
            <w:pPr>
              <w:keepNext/>
              <w:keepLines/>
              <w:spacing w:after="0" w:line="240" w:lineRule="auto"/>
              <w:jc w:val="right"/>
            </w:pPr>
            <w:r>
              <w:rPr>
                <w:sz w:val="18"/>
              </w:rPr>
              <w:t>234,90</w:t>
            </w:r>
          </w:p>
        </w:tc>
        <w:tc>
          <w:tcPr>
            <w:tcW w:w="700" w:type="dxa"/>
            <w:tcMar>
              <w:top w:w="0" w:type="dxa"/>
              <w:bottom w:w="0" w:type="dxa"/>
            </w:tcMar>
            <w:vAlign w:val="center"/>
          </w:tcPr>
          <w:p w14:paraId="1080C5EB" w14:textId="77777777" w:rsidR="00367E91" w:rsidRDefault="002B0324">
            <w:pPr>
              <w:keepNext/>
              <w:keepLines/>
              <w:spacing w:after="0" w:line="240" w:lineRule="auto"/>
              <w:jc w:val="right"/>
            </w:pPr>
            <w:r>
              <w:rPr>
                <w:sz w:val="18"/>
              </w:rPr>
              <w:t>304,2</w:t>
            </w:r>
          </w:p>
        </w:tc>
      </w:tr>
    </w:tbl>
    <w:p w14:paraId="197E29C6" w14:textId="77777777" w:rsidR="00367E91" w:rsidRDefault="00367E91">
      <w:pPr>
        <w:spacing w:after="0"/>
      </w:pPr>
    </w:p>
    <w:p w14:paraId="181558DD" w14:textId="77777777" w:rsidR="00367E91" w:rsidRDefault="002B0324">
      <w:r>
        <w:t>više loko vožnji u odnosu na 2024.</w:t>
      </w:r>
    </w:p>
    <w:p w14:paraId="05FED827" w14:textId="77777777" w:rsidR="00367E91" w:rsidRDefault="00367E91"/>
    <w:p w14:paraId="1CB6F6AF" w14:textId="77777777" w:rsidR="00367E91" w:rsidRDefault="002B0324">
      <w:pPr>
        <w:keepNext/>
        <w:spacing w:line="240" w:lineRule="auto"/>
        <w:jc w:val="center"/>
      </w:pPr>
      <w:r>
        <w:rPr>
          <w:sz w:val="28"/>
        </w:rPr>
        <w:t>Bilješka 18.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367E91" w14:paraId="34FE691E"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22258FD" w14:textId="77777777" w:rsidR="00367E91" w:rsidRDefault="002B0324">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6ABCAB56" w14:textId="77777777" w:rsidR="00367E91" w:rsidRDefault="002B0324">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30602BE" w14:textId="77777777" w:rsidR="00367E91" w:rsidRDefault="002B0324">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8A42091" w14:textId="77777777" w:rsidR="00367E91" w:rsidRDefault="002B0324">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B8249F2" w14:textId="77777777" w:rsidR="00367E91" w:rsidRDefault="002B0324">
            <w:pPr>
              <w:keepNext/>
              <w:keepLines/>
              <w:spacing w:after="0" w:line="240" w:lineRule="auto"/>
              <w:jc w:val="center"/>
            </w:pPr>
            <w:r>
              <w:rPr>
                <w:b/>
                <w:sz w:val="18"/>
              </w:rPr>
              <w:t xml:space="preserve">Ostvareno u izvještajnom razdoblju </w:t>
            </w:r>
            <w:r>
              <w:rPr>
                <w:b/>
                <w:sz w:val="18"/>
              </w:rPr>
              <w:t>tekuće godine</w:t>
            </w:r>
          </w:p>
        </w:tc>
        <w:tc>
          <w:tcPr>
            <w:tcW w:w="700" w:type="dxa"/>
            <w:shd w:val="clear" w:color="auto" w:fill="E7F0F9"/>
            <w:tcMar>
              <w:top w:w="0" w:type="dxa"/>
              <w:bottom w:w="0" w:type="dxa"/>
            </w:tcMar>
            <w:vAlign w:val="center"/>
          </w:tcPr>
          <w:p w14:paraId="605B98B6" w14:textId="77777777" w:rsidR="00367E91" w:rsidRDefault="002B0324">
            <w:pPr>
              <w:keepNext/>
              <w:keepLines/>
              <w:spacing w:after="0" w:line="240" w:lineRule="auto"/>
              <w:jc w:val="center"/>
            </w:pPr>
            <w:r>
              <w:rPr>
                <w:b/>
                <w:sz w:val="18"/>
              </w:rPr>
              <w:t>Indeks (%)</w:t>
            </w:r>
          </w:p>
        </w:tc>
      </w:tr>
      <w:tr w:rsidR="00367E91" w14:paraId="0FEA2745" w14:textId="77777777">
        <w:tblPrEx>
          <w:tblCellMar>
            <w:top w:w="0" w:type="dxa"/>
            <w:bottom w:w="0" w:type="dxa"/>
          </w:tblCellMar>
        </w:tblPrEx>
        <w:trPr>
          <w:cantSplit/>
          <w:trHeight w:val="560"/>
        </w:trPr>
        <w:tc>
          <w:tcPr>
            <w:tcW w:w="700" w:type="dxa"/>
            <w:tcMar>
              <w:top w:w="0" w:type="dxa"/>
              <w:bottom w:w="0" w:type="dxa"/>
            </w:tcMar>
            <w:vAlign w:val="center"/>
          </w:tcPr>
          <w:p w14:paraId="1F136610" w14:textId="77777777" w:rsidR="00367E91" w:rsidRDefault="002B0324">
            <w:pPr>
              <w:keepNext/>
              <w:keepLines/>
              <w:spacing w:after="0" w:line="240" w:lineRule="auto"/>
            </w:pPr>
            <w:r>
              <w:rPr>
                <w:sz w:val="18"/>
              </w:rPr>
              <w:t>3224</w:t>
            </w:r>
          </w:p>
        </w:tc>
        <w:tc>
          <w:tcPr>
            <w:tcW w:w="3180" w:type="dxa"/>
            <w:tcMar>
              <w:top w:w="0" w:type="dxa"/>
              <w:bottom w:w="0" w:type="dxa"/>
            </w:tcMar>
            <w:vAlign w:val="center"/>
          </w:tcPr>
          <w:p w14:paraId="463F3633" w14:textId="77777777" w:rsidR="00367E91" w:rsidRDefault="002B0324">
            <w:pPr>
              <w:keepNext/>
              <w:keepLines/>
              <w:spacing w:after="0" w:line="240" w:lineRule="auto"/>
            </w:pPr>
            <w:r>
              <w:rPr>
                <w:sz w:val="18"/>
              </w:rPr>
              <w:t>Materijal i dijelovi za tekuće i investicijsko održavanje</w:t>
            </w:r>
          </w:p>
        </w:tc>
        <w:tc>
          <w:tcPr>
            <w:tcW w:w="700" w:type="dxa"/>
            <w:tcMar>
              <w:top w:w="0" w:type="dxa"/>
              <w:bottom w:w="0" w:type="dxa"/>
            </w:tcMar>
            <w:vAlign w:val="center"/>
          </w:tcPr>
          <w:p w14:paraId="020F19D3" w14:textId="77777777" w:rsidR="00367E91" w:rsidRDefault="002B0324">
            <w:pPr>
              <w:keepNext/>
              <w:keepLines/>
              <w:spacing w:after="0" w:line="240" w:lineRule="auto"/>
            </w:pPr>
            <w:r>
              <w:rPr>
                <w:sz w:val="18"/>
              </w:rPr>
              <w:t>3224</w:t>
            </w:r>
          </w:p>
        </w:tc>
        <w:tc>
          <w:tcPr>
            <w:tcW w:w="1860" w:type="dxa"/>
            <w:tcMar>
              <w:top w:w="0" w:type="dxa"/>
              <w:bottom w:w="0" w:type="dxa"/>
            </w:tcMar>
            <w:vAlign w:val="center"/>
          </w:tcPr>
          <w:p w14:paraId="185E5838" w14:textId="77777777" w:rsidR="00367E91" w:rsidRDefault="002B0324">
            <w:pPr>
              <w:keepNext/>
              <w:keepLines/>
              <w:spacing w:after="0" w:line="240" w:lineRule="auto"/>
              <w:jc w:val="right"/>
            </w:pPr>
            <w:r>
              <w:rPr>
                <w:sz w:val="18"/>
              </w:rPr>
              <w:t>10.756,32</w:t>
            </w:r>
          </w:p>
        </w:tc>
        <w:tc>
          <w:tcPr>
            <w:tcW w:w="1860" w:type="dxa"/>
            <w:tcMar>
              <w:top w:w="0" w:type="dxa"/>
              <w:bottom w:w="0" w:type="dxa"/>
            </w:tcMar>
            <w:vAlign w:val="center"/>
          </w:tcPr>
          <w:p w14:paraId="766B2865" w14:textId="77777777" w:rsidR="00367E91" w:rsidRDefault="002B0324">
            <w:pPr>
              <w:keepNext/>
              <w:keepLines/>
              <w:spacing w:after="0" w:line="240" w:lineRule="auto"/>
              <w:jc w:val="right"/>
            </w:pPr>
            <w:r>
              <w:rPr>
                <w:sz w:val="18"/>
              </w:rPr>
              <w:t>12.461,54</w:t>
            </w:r>
          </w:p>
        </w:tc>
        <w:tc>
          <w:tcPr>
            <w:tcW w:w="700" w:type="dxa"/>
            <w:tcMar>
              <w:top w:w="0" w:type="dxa"/>
              <w:bottom w:w="0" w:type="dxa"/>
            </w:tcMar>
            <w:vAlign w:val="center"/>
          </w:tcPr>
          <w:p w14:paraId="07F9A98C" w14:textId="77777777" w:rsidR="00367E91" w:rsidRDefault="002B0324">
            <w:pPr>
              <w:keepNext/>
              <w:keepLines/>
              <w:spacing w:after="0" w:line="240" w:lineRule="auto"/>
              <w:jc w:val="right"/>
            </w:pPr>
            <w:r>
              <w:rPr>
                <w:sz w:val="18"/>
              </w:rPr>
              <w:t>115,9</w:t>
            </w:r>
          </w:p>
        </w:tc>
      </w:tr>
    </w:tbl>
    <w:p w14:paraId="24F13984" w14:textId="77777777" w:rsidR="00367E91" w:rsidRDefault="00367E91">
      <w:pPr>
        <w:spacing w:after="0"/>
      </w:pPr>
    </w:p>
    <w:p w14:paraId="55384050" w14:textId="77777777" w:rsidR="00367E91" w:rsidRDefault="002B0324">
      <w:r>
        <w:t>veći rashodi zbog radova na informatičkoj infrastrukturi u 2025. godini</w:t>
      </w:r>
    </w:p>
    <w:p w14:paraId="6A082237" w14:textId="77777777" w:rsidR="00367E91" w:rsidRDefault="00367E91"/>
    <w:p w14:paraId="55157A10" w14:textId="77777777" w:rsidR="00367E91" w:rsidRDefault="002B0324">
      <w:pPr>
        <w:keepNext/>
        <w:spacing w:line="240" w:lineRule="auto"/>
        <w:jc w:val="center"/>
      </w:pPr>
      <w:r>
        <w:rPr>
          <w:sz w:val="28"/>
        </w:rPr>
        <w:lastRenderedPageBreak/>
        <w:t>Bilješka 19.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367E91" w14:paraId="3E8E9F2D"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3F888BC" w14:textId="77777777" w:rsidR="00367E91" w:rsidRDefault="002B0324">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60A274BA" w14:textId="77777777" w:rsidR="00367E91" w:rsidRDefault="002B0324">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364FB01" w14:textId="77777777" w:rsidR="00367E91" w:rsidRDefault="002B0324">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3FE43BB" w14:textId="77777777" w:rsidR="00367E91" w:rsidRDefault="002B0324">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C794C21" w14:textId="77777777" w:rsidR="00367E91" w:rsidRDefault="002B0324">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446A56BE" w14:textId="77777777" w:rsidR="00367E91" w:rsidRDefault="002B0324">
            <w:pPr>
              <w:keepNext/>
              <w:keepLines/>
              <w:spacing w:after="0" w:line="240" w:lineRule="auto"/>
              <w:jc w:val="center"/>
            </w:pPr>
            <w:r>
              <w:rPr>
                <w:b/>
                <w:sz w:val="18"/>
              </w:rPr>
              <w:t>Indeks (%)</w:t>
            </w:r>
          </w:p>
        </w:tc>
      </w:tr>
      <w:tr w:rsidR="00367E91" w14:paraId="472435DF" w14:textId="77777777">
        <w:tblPrEx>
          <w:tblCellMar>
            <w:top w:w="0" w:type="dxa"/>
            <w:bottom w:w="0" w:type="dxa"/>
          </w:tblCellMar>
        </w:tblPrEx>
        <w:trPr>
          <w:cantSplit/>
          <w:trHeight w:val="560"/>
        </w:trPr>
        <w:tc>
          <w:tcPr>
            <w:tcW w:w="700" w:type="dxa"/>
            <w:tcMar>
              <w:top w:w="0" w:type="dxa"/>
              <w:bottom w:w="0" w:type="dxa"/>
            </w:tcMar>
            <w:vAlign w:val="center"/>
          </w:tcPr>
          <w:p w14:paraId="007D4743" w14:textId="77777777" w:rsidR="00367E91" w:rsidRDefault="002B0324">
            <w:pPr>
              <w:keepNext/>
              <w:keepLines/>
              <w:spacing w:after="0" w:line="240" w:lineRule="auto"/>
            </w:pPr>
            <w:r>
              <w:rPr>
                <w:sz w:val="18"/>
              </w:rPr>
              <w:t>3227</w:t>
            </w:r>
          </w:p>
        </w:tc>
        <w:tc>
          <w:tcPr>
            <w:tcW w:w="3180" w:type="dxa"/>
            <w:tcMar>
              <w:top w:w="0" w:type="dxa"/>
              <w:bottom w:w="0" w:type="dxa"/>
            </w:tcMar>
            <w:vAlign w:val="center"/>
          </w:tcPr>
          <w:p w14:paraId="61237482" w14:textId="77777777" w:rsidR="00367E91" w:rsidRDefault="002B0324">
            <w:pPr>
              <w:keepNext/>
              <w:keepLines/>
              <w:spacing w:after="0" w:line="240" w:lineRule="auto"/>
            </w:pPr>
            <w:r>
              <w:rPr>
                <w:sz w:val="18"/>
              </w:rPr>
              <w:t>Službena, radna i zaštitna odjeća i obuća</w:t>
            </w:r>
          </w:p>
        </w:tc>
        <w:tc>
          <w:tcPr>
            <w:tcW w:w="700" w:type="dxa"/>
            <w:tcMar>
              <w:top w:w="0" w:type="dxa"/>
              <w:bottom w:w="0" w:type="dxa"/>
            </w:tcMar>
            <w:vAlign w:val="center"/>
          </w:tcPr>
          <w:p w14:paraId="28398EA6" w14:textId="77777777" w:rsidR="00367E91" w:rsidRDefault="002B0324">
            <w:pPr>
              <w:keepNext/>
              <w:keepLines/>
              <w:spacing w:after="0" w:line="240" w:lineRule="auto"/>
            </w:pPr>
            <w:r>
              <w:rPr>
                <w:sz w:val="18"/>
              </w:rPr>
              <w:t>3227</w:t>
            </w:r>
          </w:p>
        </w:tc>
        <w:tc>
          <w:tcPr>
            <w:tcW w:w="1860" w:type="dxa"/>
            <w:tcMar>
              <w:top w:w="0" w:type="dxa"/>
              <w:bottom w:w="0" w:type="dxa"/>
            </w:tcMar>
            <w:vAlign w:val="center"/>
          </w:tcPr>
          <w:p w14:paraId="43223911" w14:textId="77777777" w:rsidR="00367E91" w:rsidRDefault="002B0324">
            <w:pPr>
              <w:keepNext/>
              <w:keepLines/>
              <w:spacing w:after="0" w:line="240" w:lineRule="auto"/>
              <w:jc w:val="right"/>
            </w:pPr>
            <w:r>
              <w:rPr>
                <w:sz w:val="18"/>
              </w:rPr>
              <w:t>751,73</w:t>
            </w:r>
          </w:p>
        </w:tc>
        <w:tc>
          <w:tcPr>
            <w:tcW w:w="1860" w:type="dxa"/>
            <w:tcMar>
              <w:top w:w="0" w:type="dxa"/>
              <w:bottom w:w="0" w:type="dxa"/>
            </w:tcMar>
            <w:vAlign w:val="center"/>
          </w:tcPr>
          <w:p w14:paraId="12F414F3" w14:textId="77777777" w:rsidR="00367E91" w:rsidRDefault="002B0324">
            <w:pPr>
              <w:keepNext/>
              <w:keepLines/>
              <w:spacing w:after="0" w:line="240" w:lineRule="auto"/>
              <w:jc w:val="right"/>
            </w:pPr>
            <w:r>
              <w:rPr>
                <w:sz w:val="18"/>
              </w:rPr>
              <w:t>921,23</w:t>
            </w:r>
          </w:p>
        </w:tc>
        <w:tc>
          <w:tcPr>
            <w:tcW w:w="700" w:type="dxa"/>
            <w:tcMar>
              <w:top w:w="0" w:type="dxa"/>
              <w:bottom w:w="0" w:type="dxa"/>
            </w:tcMar>
            <w:vAlign w:val="center"/>
          </w:tcPr>
          <w:p w14:paraId="38D4649A" w14:textId="77777777" w:rsidR="00367E91" w:rsidRDefault="002B0324">
            <w:pPr>
              <w:keepNext/>
              <w:keepLines/>
              <w:spacing w:after="0" w:line="240" w:lineRule="auto"/>
              <w:jc w:val="right"/>
            </w:pPr>
            <w:r>
              <w:rPr>
                <w:sz w:val="18"/>
              </w:rPr>
              <w:t>122,5</w:t>
            </w:r>
          </w:p>
        </w:tc>
      </w:tr>
    </w:tbl>
    <w:p w14:paraId="53338241" w14:textId="77777777" w:rsidR="00367E91" w:rsidRDefault="00367E91">
      <w:pPr>
        <w:spacing w:after="0"/>
      </w:pPr>
    </w:p>
    <w:p w14:paraId="7A18D412" w14:textId="77777777" w:rsidR="00367E91" w:rsidRDefault="002B0324">
      <w:r>
        <w:t>u 2025. povećan broj spremačica kojima kupujemo radnu odjeću ;kupljena radna odjeća za domara.</w:t>
      </w:r>
    </w:p>
    <w:p w14:paraId="258CBC4A" w14:textId="77777777" w:rsidR="00367E91" w:rsidRDefault="00367E91"/>
    <w:p w14:paraId="23201F34" w14:textId="77777777" w:rsidR="00367E91" w:rsidRDefault="002B0324">
      <w:pPr>
        <w:keepNext/>
        <w:spacing w:line="240" w:lineRule="auto"/>
        <w:jc w:val="center"/>
      </w:pPr>
      <w:r>
        <w:rPr>
          <w:sz w:val="28"/>
        </w:rPr>
        <w:t>Bilješka 20.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367E91" w14:paraId="25B21BE1"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259C9D6" w14:textId="77777777" w:rsidR="00367E91" w:rsidRDefault="002B0324">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69A0D634" w14:textId="77777777" w:rsidR="00367E91" w:rsidRDefault="002B0324">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A468352" w14:textId="77777777" w:rsidR="00367E91" w:rsidRDefault="002B0324">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E28D959" w14:textId="77777777" w:rsidR="00367E91" w:rsidRDefault="002B0324">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0270F23" w14:textId="77777777" w:rsidR="00367E91" w:rsidRDefault="002B0324">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57C8974" w14:textId="77777777" w:rsidR="00367E91" w:rsidRDefault="002B0324">
            <w:pPr>
              <w:keepNext/>
              <w:keepLines/>
              <w:spacing w:after="0" w:line="240" w:lineRule="auto"/>
              <w:jc w:val="center"/>
            </w:pPr>
            <w:r>
              <w:rPr>
                <w:b/>
                <w:sz w:val="18"/>
              </w:rPr>
              <w:t>Indeks (</w:t>
            </w:r>
            <w:r>
              <w:rPr>
                <w:b/>
                <w:sz w:val="18"/>
              </w:rPr>
              <w:t>%)</w:t>
            </w:r>
          </w:p>
        </w:tc>
      </w:tr>
      <w:tr w:rsidR="00367E91" w14:paraId="53561642" w14:textId="77777777">
        <w:tblPrEx>
          <w:tblCellMar>
            <w:top w:w="0" w:type="dxa"/>
            <w:bottom w:w="0" w:type="dxa"/>
          </w:tblCellMar>
        </w:tblPrEx>
        <w:trPr>
          <w:cantSplit/>
          <w:trHeight w:val="560"/>
        </w:trPr>
        <w:tc>
          <w:tcPr>
            <w:tcW w:w="700" w:type="dxa"/>
            <w:tcMar>
              <w:top w:w="0" w:type="dxa"/>
              <w:bottom w:w="0" w:type="dxa"/>
            </w:tcMar>
            <w:vAlign w:val="center"/>
          </w:tcPr>
          <w:p w14:paraId="3CE4606E" w14:textId="77777777" w:rsidR="00367E91" w:rsidRDefault="002B0324">
            <w:pPr>
              <w:keepNext/>
              <w:keepLines/>
              <w:spacing w:after="0" w:line="240" w:lineRule="auto"/>
            </w:pPr>
            <w:r>
              <w:rPr>
                <w:sz w:val="18"/>
              </w:rPr>
              <w:t>3231</w:t>
            </w:r>
          </w:p>
        </w:tc>
        <w:tc>
          <w:tcPr>
            <w:tcW w:w="3180" w:type="dxa"/>
            <w:tcMar>
              <w:top w:w="0" w:type="dxa"/>
              <w:bottom w:w="0" w:type="dxa"/>
            </w:tcMar>
            <w:vAlign w:val="center"/>
          </w:tcPr>
          <w:p w14:paraId="20541FB3" w14:textId="77777777" w:rsidR="00367E91" w:rsidRDefault="002B0324">
            <w:pPr>
              <w:keepNext/>
              <w:keepLines/>
              <w:spacing w:after="0" w:line="240" w:lineRule="auto"/>
            </w:pPr>
            <w:r>
              <w:rPr>
                <w:sz w:val="18"/>
              </w:rPr>
              <w:t>Usluge telefona, interneta, pošte i prijevoza</w:t>
            </w:r>
          </w:p>
        </w:tc>
        <w:tc>
          <w:tcPr>
            <w:tcW w:w="700" w:type="dxa"/>
            <w:tcMar>
              <w:top w:w="0" w:type="dxa"/>
              <w:bottom w:w="0" w:type="dxa"/>
            </w:tcMar>
            <w:vAlign w:val="center"/>
          </w:tcPr>
          <w:p w14:paraId="5650D14B" w14:textId="77777777" w:rsidR="00367E91" w:rsidRDefault="002B0324">
            <w:pPr>
              <w:keepNext/>
              <w:keepLines/>
              <w:spacing w:after="0" w:line="240" w:lineRule="auto"/>
            </w:pPr>
            <w:r>
              <w:rPr>
                <w:sz w:val="18"/>
              </w:rPr>
              <w:t>3231</w:t>
            </w:r>
          </w:p>
        </w:tc>
        <w:tc>
          <w:tcPr>
            <w:tcW w:w="1860" w:type="dxa"/>
            <w:tcMar>
              <w:top w:w="0" w:type="dxa"/>
              <w:bottom w:w="0" w:type="dxa"/>
            </w:tcMar>
            <w:vAlign w:val="center"/>
          </w:tcPr>
          <w:p w14:paraId="757A1E15" w14:textId="77777777" w:rsidR="00367E91" w:rsidRDefault="002B0324">
            <w:pPr>
              <w:keepNext/>
              <w:keepLines/>
              <w:spacing w:after="0" w:line="240" w:lineRule="auto"/>
              <w:jc w:val="right"/>
            </w:pPr>
            <w:r>
              <w:rPr>
                <w:sz w:val="18"/>
              </w:rPr>
              <w:t>18.591,16</w:t>
            </w:r>
          </w:p>
        </w:tc>
        <w:tc>
          <w:tcPr>
            <w:tcW w:w="1860" w:type="dxa"/>
            <w:tcMar>
              <w:top w:w="0" w:type="dxa"/>
              <w:bottom w:w="0" w:type="dxa"/>
            </w:tcMar>
            <w:vAlign w:val="center"/>
          </w:tcPr>
          <w:p w14:paraId="68E104C9" w14:textId="77777777" w:rsidR="00367E91" w:rsidRDefault="002B0324">
            <w:pPr>
              <w:keepNext/>
              <w:keepLines/>
              <w:spacing w:after="0" w:line="240" w:lineRule="auto"/>
              <w:jc w:val="right"/>
            </w:pPr>
            <w:r>
              <w:rPr>
                <w:sz w:val="18"/>
              </w:rPr>
              <w:t>7.891,56</w:t>
            </w:r>
          </w:p>
        </w:tc>
        <w:tc>
          <w:tcPr>
            <w:tcW w:w="700" w:type="dxa"/>
            <w:tcMar>
              <w:top w:w="0" w:type="dxa"/>
              <w:bottom w:w="0" w:type="dxa"/>
            </w:tcMar>
            <w:vAlign w:val="center"/>
          </w:tcPr>
          <w:p w14:paraId="1B818849" w14:textId="77777777" w:rsidR="00367E91" w:rsidRDefault="002B0324">
            <w:pPr>
              <w:keepNext/>
              <w:keepLines/>
              <w:spacing w:after="0" w:line="240" w:lineRule="auto"/>
              <w:jc w:val="right"/>
            </w:pPr>
            <w:r>
              <w:rPr>
                <w:sz w:val="18"/>
              </w:rPr>
              <w:t>42,4</w:t>
            </w:r>
          </w:p>
        </w:tc>
      </w:tr>
    </w:tbl>
    <w:p w14:paraId="28A0D598" w14:textId="77777777" w:rsidR="00367E91" w:rsidRDefault="00367E91">
      <w:pPr>
        <w:spacing w:after="0"/>
      </w:pPr>
    </w:p>
    <w:p w14:paraId="3D2EE61C" w14:textId="77777777" w:rsidR="00367E91" w:rsidRDefault="002B0324">
      <w:r>
        <w:t>Početkom 2025. godine nakon isteka ugovora za mobilnu telefoniju, novi nije potpisan</w:t>
      </w:r>
    </w:p>
    <w:p w14:paraId="4B3E9B5C" w14:textId="77777777" w:rsidR="00367E91" w:rsidRDefault="00367E91"/>
    <w:p w14:paraId="3BDAF46F" w14:textId="77777777" w:rsidR="00367E91" w:rsidRDefault="002B0324">
      <w:pPr>
        <w:keepNext/>
        <w:spacing w:line="240" w:lineRule="auto"/>
        <w:jc w:val="center"/>
      </w:pPr>
      <w:r>
        <w:rPr>
          <w:sz w:val="28"/>
        </w:rPr>
        <w:t>Bilješka 21.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367E91" w14:paraId="30EF50D3"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9E02243" w14:textId="77777777" w:rsidR="00367E91" w:rsidRDefault="002B0324">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068F3950" w14:textId="77777777" w:rsidR="00367E91" w:rsidRDefault="002B0324">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F9664CA" w14:textId="77777777" w:rsidR="00367E91" w:rsidRDefault="002B0324">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7A5721A" w14:textId="77777777" w:rsidR="00367E91" w:rsidRDefault="002B0324">
            <w:pPr>
              <w:keepNext/>
              <w:keepLines/>
              <w:spacing w:after="0" w:line="240" w:lineRule="auto"/>
              <w:jc w:val="center"/>
            </w:pPr>
            <w:r>
              <w:rPr>
                <w:b/>
                <w:sz w:val="18"/>
              </w:rPr>
              <w:t xml:space="preserve">Ostvareno u </w:t>
            </w:r>
            <w:r>
              <w:rPr>
                <w:b/>
                <w:sz w:val="18"/>
              </w:rPr>
              <w:t>izvještajnom razdoblju prethodne godine</w:t>
            </w:r>
          </w:p>
        </w:tc>
        <w:tc>
          <w:tcPr>
            <w:tcW w:w="1860" w:type="dxa"/>
            <w:shd w:val="clear" w:color="auto" w:fill="E7F0F9"/>
            <w:tcMar>
              <w:top w:w="0" w:type="dxa"/>
              <w:bottom w:w="0" w:type="dxa"/>
            </w:tcMar>
            <w:vAlign w:val="center"/>
          </w:tcPr>
          <w:p w14:paraId="71170551" w14:textId="77777777" w:rsidR="00367E91" w:rsidRDefault="002B0324">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B33E545" w14:textId="77777777" w:rsidR="00367E91" w:rsidRDefault="002B0324">
            <w:pPr>
              <w:keepNext/>
              <w:keepLines/>
              <w:spacing w:after="0" w:line="240" w:lineRule="auto"/>
              <w:jc w:val="center"/>
            </w:pPr>
            <w:r>
              <w:rPr>
                <w:b/>
                <w:sz w:val="18"/>
              </w:rPr>
              <w:t>Indeks (%)</w:t>
            </w:r>
          </w:p>
        </w:tc>
      </w:tr>
      <w:tr w:rsidR="00367E91" w14:paraId="6D1D14CE" w14:textId="77777777">
        <w:tblPrEx>
          <w:tblCellMar>
            <w:top w:w="0" w:type="dxa"/>
            <w:bottom w:w="0" w:type="dxa"/>
          </w:tblCellMar>
        </w:tblPrEx>
        <w:trPr>
          <w:cantSplit/>
          <w:trHeight w:val="560"/>
        </w:trPr>
        <w:tc>
          <w:tcPr>
            <w:tcW w:w="700" w:type="dxa"/>
            <w:tcMar>
              <w:top w:w="0" w:type="dxa"/>
              <w:bottom w:w="0" w:type="dxa"/>
            </w:tcMar>
            <w:vAlign w:val="center"/>
          </w:tcPr>
          <w:p w14:paraId="67FC7070" w14:textId="77777777" w:rsidR="00367E91" w:rsidRDefault="002B0324">
            <w:pPr>
              <w:keepNext/>
              <w:keepLines/>
              <w:spacing w:after="0" w:line="240" w:lineRule="auto"/>
            </w:pPr>
            <w:r>
              <w:rPr>
                <w:sz w:val="18"/>
              </w:rPr>
              <w:t>3235</w:t>
            </w:r>
          </w:p>
        </w:tc>
        <w:tc>
          <w:tcPr>
            <w:tcW w:w="3180" w:type="dxa"/>
            <w:tcMar>
              <w:top w:w="0" w:type="dxa"/>
              <w:bottom w:w="0" w:type="dxa"/>
            </w:tcMar>
            <w:vAlign w:val="center"/>
          </w:tcPr>
          <w:p w14:paraId="5A7264F5" w14:textId="77777777" w:rsidR="00367E91" w:rsidRDefault="002B0324">
            <w:pPr>
              <w:keepNext/>
              <w:keepLines/>
              <w:spacing w:after="0" w:line="240" w:lineRule="auto"/>
            </w:pPr>
            <w:r>
              <w:rPr>
                <w:sz w:val="18"/>
              </w:rPr>
              <w:t>Zakupnine i najamnine</w:t>
            </w:r>
          </w:p>
        </w:tc>
        <w:tc>
          <w:tcPr>
            <w:tcW w:w="700" w:type="dxa"/>
            <w:tcMar>
              <w:top w:w="0" w:type="dxa"/>
              <w:bottom w:w="0" w:type="dxa"/>
            </w:tcMar>
            <w:vAlign w:val="center"/>
          </w:tcPr>
          <w:p w14:paraId="7197F6E6" w14:textId="77777777" w:rsidR="00367E91" w:rsidRDefault="002B0324">
            <w:pPr>
              <w:keepNext/>
              <w:keepLines/>
              <w:spacing w:after="0" w:line="240" w:lineRule="auto"/>
            </w:pPr>
            <w:r>
              <w:rPr>
                <w:sz w:val="18"/>
              </w:rPr>
              <w:t>3235</w:t>
            </w:r>
          </w:p>
        </w:tc>
        <w:tc>
          <w:tcPr>
            <w:tcW w:w="1860" w:type="dxa"/>
            <w:tcMar>
              <w:top w:w="0" w:type="dxa"/>
              <w:bottom w:w="0" w:type="dxa"/>
            </w:tcMar>
            <w:vAlign w:val="center"/>
          </w:tcPr>
          <w:p w14:paraId="6DE7C4F8" w14:textId="77777777" w:rsidR="00367E91" w:rsidRDefault="002B0324">
            <w:pPr>
              <w:keepNext/>
              <w:keepLines/>
              <w:spacing w:after="0" w:line="240" w:lineRule="auto"/>
              <w:jc w:val="right"/>
            </w:pPr>
            <w:r>
              <w:rPr>
                <w:sz w:val="18"/>
              </w:rPr>
              <w:t>142.601,08</w:t>
            </w:r>
          </w:p>
        </w:tc>
        <w:tc>
          <w:tcPr>
            <w:tcW w:w="1860" w:type="dxa"/>
            <w:tcMar>
              <w:top w:w="0" w:type="dxa"/>
              <w:bottom w:w="0" w:type="dxa"/>
            </w:tcMar>
            <w:vAlign w:val="center"/>
          </w:tcPr>
          <w:p w14:paraId="6F7C6231" w14:textId="77777777" w:rsidR="00367E91" w:rsidRDefault="002B0324">
            <w:pPr>
              <w:keepNext/>
              <w:keepLines/>
              <w:spacing w:after="0" w:line="240" w:lineRule="auto"/>
              <w:jc w:val="right"/>
            </w:pPr>
            <w:r>
              <w:rPr>
                <w:sz w:val="18"/>
              </w:rPr>
              <w:t>127.252,45</w:t>
            </w:r>
          </w:p>
        </w:tc>
        <w:tc>
          <w:tcPr>
            <w:tcW w:w="700" w:type="dxa"/>
            <w:tcMar>
              <w:top w:w="0" w:type="dxa"/>
              <w:bottom w:w="0" w:type="dxa"/>
            </w:tcMar>
            <w:vAlign w:val="center"/>
          </w:tcPr>
          <w:p w14:paraId="11CFD4A2" w14:textId="77777777" w:rsidR="00367E91" w:rsidRDefault="002B0324">
            <w:pPr>
              <w:keepNext/>
              <w:keepLines/>
              <w:spacing w:after="0" w:line="240" w:lineRule="auto"/>
              <w:jc w:val="right"/>
            </w:pPr>
            <w:r>
              <w:rPr>
                <w:sz w:val="18"/>
              </w:rPr>
              <w:t>89,2</w:t>
            </w:r>
          </w:p>
        </w:tc>
      </w:tr>
    </w:tbl>
    <w:p w14:paraId="0FB40765" w14:textId="77777777" w:rsidR="00367E91" w:rsidRDefault="00367E91">
      <w:pPr>
        <w:spacing w:after="0"/>
      </w:pPr>
    </w:p>
    <w:p w14:paraId="088C582E" w14:textId="77777777" w:rsidR="00367E91" w:rsidRDefault="002B0324">
      <w:r>
        <w:t>U 2024. sklopljen je novi ugovor  za najam sa Židovskom općinom ali je  podmiren  i dug za dio 2023. godine dok uzgovor nije potpisan. Manji rashodi za najam opreme ali veći za kupovinu licenci za korištenje baza podataka; </w:t>
      </w:r>
    </w:p>
    <w:p w14:paraId="0B1F8FD1" w14:textId="77777777" w:rsidR="00367E91" w:rsidRDefault="00367E91"/>
    <w:p w14:paraId="54DCF3C1" w14:textId="77777777" w:rsidR="00367E91" w:rsidRDefault="002B0324">
      <w:pPr>
        <w:keepNext/>
        <w:spacing w:line="240" w:lineRule="auto"/>
        <w:jc w:val="center"/>
      </w:pPr>
      <w:r>
        <w:rPr>
          <w:sz w:val="28"/>
        </w:rPr>
        <w:t>Bilješka 22.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367E91" w14:paraId="056C75A0"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B80211C" w14:textId="77777777" w:rsidR="00367E91" w:rsidRDefault="002B0324">
            <w:pPr>
              <w:keepNext/>
              <w:keepLines/>
              <w:spacing w:after="0" w:line="240" w:lineRule="auto"/>
              <w:jc w:val="center"/>
            </w:pPr>
            <w:r>
              <w:rPr>
                <w:b/>
                <w:sz w:val="18"/>
              </w:rPr>
              <w:t>Račun iz rač. plan</w:t>
            </w:r>
            <w:r>
              <w:rPr>
                <w:b/>
                <w:sz w:val="18"/>
              </w:rPr>
              <w:t>a</w:t>
            </w:r>
          </w:p>
        </w:tc>
        <w:tc>
          <w:tcPr>
            <w:tcW w:w="3180" w:type="dxa"/>
            <w:shd w:val="clear" w:color="auto" w:fill="E7F0F9"/>
            <w:tcMar>
              <w:top w:w="0" w:type="dxa"/>
              <w:bottom w:w="0" w:type="dxa"/>
            </w:tcMar>
            <w:vAlign w:val="center"/>
          </w:tcPr>
          <w:p w14:paraId="3D82FB86" w14:textId="77777777" w:rsidR="00367E91" w:rsidRDefault="002B0324">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4F8210A" w14:textId="77777777" w:rsidR="00367E91" w:rsidRDefault="002B0324">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E1862EA" w14:textId="77777777" w:rsidR="00367E91" w:rsidRDefault="002B0324">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8975C2A" w14:textId="77777777" w:rsidR="00367E91" w:rsidRDefault="002B0324">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1B770BA" w14:textId="77777777" w:rsidR="00367E91" w:rsidRDefault="002B0324">
            <w:pPr>
              <w:keepNext/>
              <w:keepLines/>
              <w:spacing w:after="0" w:line="240" w:lineRule="auto"/>
              <w:jc w:val="center"/>
            </w:pPr>
            <w:r>
              <w:rPr>
                <w:b/>
                <w:sz w:val="18"/>
              </w:rPr>
              <w:t>Indeks (%)</w:t>
            </w:r>
          </w:p>
        </w:tc>
      </w:tr>
      <w:tr w:rsidR="00367E91" w14:paraId="10D7547D" w14:textId="77777777">
        <w:tblPrEx>
          <w:tblCellMar>
            <w:top w:w="0" w:type="dxa"/>
            <w:bottom w:w="0" w:type="dxa"/>
          </w:tblCellMar>
        </w:tblPrEx>
        <w:trPr>
          <w:cantSplit/>
          <w:trHeight w:val="560"/>
        </w:trPr>
        <w:tc>
          <w:tcPr>
            <w:tcW w:w="700" w:type="dxa"/>
            <w:tcMar>
              <w:top w:w="0" w:type="dxa"/>
              <w:bottom w:w="0" w:type="dxa"/>
            </w:tcMar>
            <w:vAlign w:val="center"/>
          </w:tcPr>
          <w:p w14:paraId="2CE93DBD" w14:textId="77777777" w:rsidR="00367E91" w:rsidRDefault="002B0324">
            <w:pPr>
              <w:keepNext/>
              <w:keepLines/>
              <w:spacing w:after="0" w:line="240" w:lineRule="auto"/>
            </w:pPr>
            <w:r>
              <w:rPr>
                <w:sz w:val="18"/>
              </w:rPr>
              <w:t>3236</w:t>
            </w:r>
          </w:p>
        </w:tc>
        <w:tc>
          <w:tcPr>
            <w:tcW w:w="3180" w:type="dxa"/>
            <w:tcMar>
              <w:top w:w="0" w:type="dxa"/>
              <w:bottom w:w="0" w:type="dxa"/>
            </w:tcMar>
            <w:vAlign w:val="center"/>
          </w:tcPr>
          <w:p w14:paraId="0AF2417F" w14:textId="77777777" w:rsidR="00367E91" w:rsidRDefault="002B0324">
            <w:pPr>
              <w:keepNext/>
              <w:keepLines/>
              <w:spacing w:after="0" w:line="240" w:lineRule="auto"/>
            </w:pPr>
            <w:r>
              <w:rPr>
                <w:sz w:val="18"/>
              </w:rPr>
              <w:t>Zdravstvene i veterinarske usluge</w:t>
            </w:r>
          </w:p>
        </w:tc>
        <w:tc>
          <w:tcPr>
            <w:tcW w:w="700" w:type="dxa"/>
            <w:tcMar>
              <w:top w:w="0" w:type="dxa"/>
              <w:bottom w:w="0" w:type="dxa"/>
            </w:tcMar>
            <w:vAlign w:val="center"/>
          </w:tcPr>
          <w:p w14:paraId="0AC763B5" w14:textId="77777777" w:rsidR="00367E91" w:rsidRDefault="002B0324">
            <w:pPr>
              <w:keepNext/>
              <w:keepLines/>
              <w:spacing w:after="0" w:line="240" w:lineRule="auto"/>
            </w:pPr>
            <w:r>
              <w:rPr>
                <w:sz w:val="18"/>
              </w:rPr>
              <w:t>3236</w:t>
            </w:r>
          </w:p>
        </w:tc>
        <w:tc>
          <w:tcPr>
            <w:tcW w:w="1860" w:type="dxa"/>
            <w:tcMar>
              <w:top w:w="0" w:type="dxa"/>
              <w:bottom w:w="0" w:type="dxa"/>
            </w:tcMar>
            <w:vAlign w:val="center"/>
          </w:tcPr>
          <w:p w14:paraId="1E48BD92" w14:textId="77777777" w:rsidR="00367E91" w:rsidRDefault="002B0324">
            <w:pPr>
              <w:keepNext/>
              <w:keepLines/>
              <w:spacing w:after="0" w:line="240" w:lineRule="auto"/>
              <w:jc w:val="right"/>
            </w:pPr>
            <w:r>
              <w:rPr>
                <w:sz w:val="18"/>
              </w:rPr>
              <w:t>0,00</w:t>
            </w:r>
          </w:p>
        </w:tc>
        <w:tc>
          <w:tcPr>
            <w:tcW w:w="1860" w:type="dxa"/>
            <w:tcMar>
              <w:top w:w="0" w:type="dxa"/>
              <w:bottom w:w="0" w:type="dxa"/>
            </w:tcMar>
            <w:vAlign w:val="center"/>
          </w:tcPr>
          <w:p w14:paraId="679D40F6" w14:textId="77777777" w:rsidR="00367E91" w:rsidRDefault="002B0324">
            <w:pPr>
              <w:keepNext/>
              <w:keepLines/>
              <w:spacing w:after="0" w:line="240" w:lineRule="auto"/>
              <w:jc w:val="right"/>
            </w:pPr>
            <w:r>
              <w:rPr>
                <w:sz w:val="18"/>
              </w:rPr>
              <w:t>2.440,00</w:t>
            </w:r>
          </w:p>
        </w:tc>
        <w:tc>
          <w:tcPr>
            <w:tcW w:w="700" w:type="dxa"/>
            <w:tcMar>
              <w:top w:w="0" w:type="dxa"/>
              <w:bottom w:w="0" w:type="dxa"/>
            </w:tcMar>
            <w:vAlign w:val="center"/>
          </w:tcPr>
          <w:p w14:paraId="16D1FCAE" w14:textId="77777777" w:rsidR="00367E91" w:rsidRDefault="002B0324">
            <w:pPr>
              <w:keepNext/>
              <w:keepLines/>
              <w:spacing w:after="0" w:line="240" w:lineRule="auto"/>
              <w:jc w:val="right"/>
            </w:pPr>
            <w:r>
              <w:rPr>
                <w:sz w:val="18"/>
              </w:rPr>
              <w:t>-</w:t>
            </w:r>
          </w:p>
        </w:tc>
      </w:tr>
    </w:tbl>
    <w:p w14:paraId="2FD0F882" w14:textId="77777777" w:rsidR="00367E91" w:rsidRDefault="00367E91">
      <w:pPr>
        <w:spacing w:after="0"/>
      </w:pPr>
    </w:p>
    <w:p w14:paraId="7EDA566F" w14:textId="77777777" w:rsidR="00367E91" w:rsidRDefault="002B0324">
      <w:r>
        <w:t xml:space="preserve">u 2023. godini ugovoren i plaćen paket dobrovoljnog zdravstvenog osiguranja sa sistematskim pregledom za sve zaposlenike s realizacijom u 2024. godini. zbog toga taj rashod u  2024. godini </w:t>
      </w:r>
      <w:r>
        <w:lastRenderedPageBreak/>
        <w:t>nismo imali  . U 2025. godini samo je dio zaposlenika obavio sistem</w:t>
      </w:r>
      <w:r>
        <w:t>atski pregled, a ugovor završava polovicom 2026. godine</w:t>
      </w:r>
    </w:p>
    <w:p w14:paraId="1932DDE8" w14:textId="77777777" w:rsidR="00367E91" w:rsidRDefault="00367E91"/>
    <w:p w14:paraId="4F77D13E" w14:textId="77777777" w:rsidR="00367E91" w:rsidRDefault="002B0324">
      <w:pPr>
        <w:keepNext/>
        <w:spacing w:line="240" w:lineRule="auto"/>
        <w:jc w:val="center"/>
      </w:pPr>
      <w:r>
        <w:rPr>
          <w:sz w:val="28"/>
        </w:rPr>
        <w:t>Bilješka 23.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367E91" w14:paraId="47B77667"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2A307B2" w14:textId="77777777" w:rsidR="00367E91" w:rsidRDefault="002B0324">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036B1F25" w14:textId="77777777" w:rsidR="00367E91" w:rsidRDefault="002B0324">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F967C00" w14:textId="77777777" w:rsidR="00367E91" w:rsidRDefault="002B0324">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B1FD043" w14:textId="77777777" w:rsidR="00367E91" w:rsidRDefault="002B0324">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E856006" w14:textId="77777777" w:rsidR="00367E91" w:rsidRDefault="002B0324">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DC19D2C" w14:textId="77777777" w:rsidR="00367E91" w:rsidRDefault="002B0324">
            <w:pPr>
              <w:keepNext/>
              <w:keepLines/>
              <w:spacing w:after="0" w:line="240" w:lineRule="auto"/>
              <w:jc w:val="center"/>
            </w:pPr>
            <w:r>
              <w:rPr>
                <w:b/>
                <w:sz w:val="18"/>
              </w:rPr>
              <w:t>Indeks (%)</w:t>
            </w:r>
          </w:p>
        </w:tc>
      </w:tr>
      <w:tr w:rsidR="00367E91" w14:paraId="345A3D59" w14:textId="77777777">
        <w:tblPrEx>
          <w:tblCellMar>
            <w:top w:w="0" w:type="dxa"/>
            <w:bottom w:w="0" w:type="dxa"/>
          </w:tblCellMar>
        </w:tblPrEx>
        <w:trPr>
          <w:cantSplit/>
          <w:trHeight w:val="560"/>
        </w:trPr>
        <w:tc>
          <w:tcPr>
            <w:tcW w:w="700" w:type="dxa"/>
            <w:tcMar>
              <w:top w:w="0" w:type="dxa"/>
              <w:bottom w:w="0" w:type="dxa"/>
            </w:tcMar>
            <w:vAlign w:val="center"/>
          </w:tcPr>
          <w:p w14:paraId="644629F4" w14:textId="77777777" w:rsidR="00367E91" w:rsidRDefault="002B0324">
            <w:pPr>
              <w:keepNext/>
              <w:keepLines/>
              <w:spacing w:after="0" w:line="240" w:lineRule="auto"/>
            </w:pPr>
            <w:r>
              <w:rPr>
                <w:sz w:val="18"/>
              </w:rPr>
              <w:t>3239</w:t>
            </w:r>
          </w:p>
        </w:tc>
        <w:tc>
          <w:tcPr>
            <w:tcW w:w="3180" w:type="dxa"/>
            <w:tcMar>
              <w:top w:w="0" w:type="dxa"/>
              <w:bottom w:w="0" w:type="dxa"/>
            </w:tcMar>
            <w:vAlign w:val="center"/>
          </w:tcPr>
          <w:p w14:paraId="72C45BFD" w14:textId="77777777" w:rsidR="00367E91" w:rsidRDefault="002B0324">
            <w:pPr>
              <w:keepNext/>
              <w:keepLines/>
              <w:spacing w:after="0" w:line="240" w:lineRule="auto"/>
            </w:pPr>
            <w:r>
              <w:rPr>
                <w:sz w:val="18"/>
              </w:rPr>
              <w:t>Ostale usluge</w:t>
            </w:r>
          </w:p>
        </w:tc>
        <w:tc>
          <w:tcPr>
            <w:tcW w:w="700" w:type="dxa"/>
            <w:tcMar>
              <w:top w:w="0" w:type="dxa"/>
              <w:bottom w:w="0" w:type="dxa"/>
            </w:tcMar>
            <w:vAlign w:val="center"/>
          </w:tcPr>
          <w:p w14:paraId="7209FDC1" w14:textId="77777777" w:rsidR="00367E91" w:rsidRDefault="002B0324">
            <w:pPr>
              <w:keepNext/>
              <w:keepLines/>
              <w:spacing w:after="0" w:line="240" w:lineRule="auto"/>
            </w:pPr>
            <w:r>
              <w:rPr>
                <w:sz w:val="18"/>
              </w:rPr>
              <w:t>3239</w:t>
            </w:r>
          </w:p>
        </w:tc>
        <w:tc>
          <w:tcPr>
            <w:tcW w:w="1860" w:type="dxa"/>
            <w:tcMar>
              <w:top w:w="0" w:type="dxa"/>
              <w:bottom w:w="0" w:type="dxa"/>
            </w:tcMar>
            <w:vAlign w:val="center"/>
          </w:tcPr>
          <w:p w14:paraId="0458D745" w14:textId="77777777" w:rsidR="00367E91" w:rsidRDefault="002B0324">
            <w:pPr>
              <w:keepNext/>
              <w:keepLines/>
              <w:spacing w:after="0" w:line="240" w:lineRule="auto"/>
              <w:jc w:val="right"/>
            </w:pPr>
            <w:r>
              <w:rPr>
                <w:sz w:val="18"/>
              </w:rPr>
              <w:t>28.273,42</w:t>
            </w:r>
          </w:p>
        </w:tc>
        <w:tc>
          <w:tcPr>
            <w:tcW w:w="1860" w:type="dxa"/>
            <w:tcMar>
              <w:top w:w="0" w:type="dxa"/>
              <w:bottom w:w="0" w:type="dxa"/>
            </w:tcMar>
            <w:vAlign w:val="center"/>
          </w:tcPr>
          <w:p w14:paraId="5F4712CF" w14:textId="77777777" w:rsidR="00367E91" w:rsidRDefault="002B0324">
            <w:pPr>
              <w:keepNext/>
              <w:keepLines/>
              <w:spacing w:after="0" w:line="240" w:lineRule="auto"/>
              <w:jc w:val="right"/>
            </w:pPr>
            <w:r>
              <w:rPr>
                <w:sz w:val="18"/>
              </w:rPr>
              <w:t>46.197,73</w:t>
            </w:r>
          </w:p>
        </w:tc>
        <w:tc>
          <w:tcPr>
            <w:tcW w:w="700" w:type="dxa"/>
            <w:tcMar>
              <w:top w:w="0" w:type="dxa"/>
              <w:bottom w:w="0" w:type="dxa"/>
            </w:tcMar>
            <w:vAlign w:val="center"/>
          </w:tcPr>
          <w:p w14:paraId="44A97780" w14:textId="77777777" w:rsidR="00367E91" w:rsidRDefault="002B0324">
            <w:pPr>
              <w:keepNext/>
              <w:keepLines/>
              <w:spacing w:after="0" w:line="240" w:lineRule="auto"/>
              <w:jc w:val="right"/>
            </w:pPr>
            <w:r>
              <w:rPr>
                <w:sz w:val="18"/>
              </w:rPr>
              <w:t>163,4</w:t>
            </w:r>
          </w:p>
        </w:tc>
      </w:tr>
    </w:tbl>
    <w:p w14:paraId="04F03CA1" w14:textId="77777777" w:rsidR="00367E91" w:rsidRDefault="00367E91">
      <w:pPr>
        <w:spacing w:after="0"/>
      </w:pPr>
    </w:p>
    <w:p w14:paraId="0F528FEF" w14:textId="77777777" w:rsidR="00367E91" w:rsidRDefault="002B0324">
      <w:r>
        <w:t>povećani rashodi zbog aktivnosti vezanih uz 50-togodišnju obljetnicu Fakulteta-promotivni materijali, izrada Monografije; izdavanje 2 knjige</w:t>
      </w:r>
    </w:p>
    <w:p w14:paraId="6D687413" w14:textId="77777777" w:rsidR="00367E91" w:rsidRDefault="00367E91"/>
    <w:p w14:paraId="5B39FC34" w14:textId="77777777" w:rsidR="00367E91" w:rsidRDefault="002B0324">
      <w:pPr>
        <w:keepNext/>
        <w:spacing w:line="240" w:lineRule="auto"/>
        <w:jc w:val="center"/>
      </w:pPr>
      <w:r>
        <w:rPr>
          <w:sz w:val="28"/>
        </w:rPr>
        <w:t>Bilješka 24.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367E91" w14:paraId="14F23AFB"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A8D481B" w14:textId="77777777" w:rsidR="00367E91" w:rsidRDefault="002B0324">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79141F41" w14:textId="77777777" w:rsidR="00367E91" w:rsidRDefault="002B0324">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3FFEC97" w14:textId="77777777" w:rsidR="00367E91" w:rsidRDefault="002B0324">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C240697" w14:textId="77777777" w:rsidR="00367E91" w:rsidRDefault="002B0324">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D1DAF5C" w14:textId="77777777" w:rsidR="00367E91" w:rsidRDefault="002B0324">
            <w:pPr>
              <w:keepNext/>
              <w:keepLines/>
              <w:spacing w:after="0" w:line="240" w:lineRule="auto"/>
              <w:jc w:val="center"/>
            </w:pPr>
            <w:r>
              <w:rPr>
                <w:b/>
                <w:sz w:val="18"/>
              </w:rPr>
              <w:t>Ostvareno u</w:t>
            </w:r>
            <w:r>
              <w:rPr>
                <w:b/>
                <w:sz w:val="18"/>
              </w:rPr>
              <w:t xml:space="preserve"> izvještajnom razdoblju tekuće godine</w:t>
            </w:r>
          </w:p>
        </w:tc>
        <w:tc>
          <w:tcPr>
            <w:tcW w:w="700" w:type="dxa"/>
            <w:shd w:val="clear" w:color="auto" w:fill="E7F0F9"/>
            <w:tcMar>
              <w:top w:w="0" w:type="dxa"/>
              <w:bottom w:w="0" w:type="dxa"/>
            </w:tcMar>
            <w:vAlign w:val="center"/>
          </w:tcPr>
          <w:p w14:paraId="26DD5AD4" w14:textId="77777777" w:rsidR="00367E91" w:rsidRDefault="002B0324">
            <w:pPr>
              <w:keepNext/>
              <w:keepLines/>
              <w:spacing w:after="0" w:line="240" w:lineRule="auto"/>
              <w:jc w:val="center"/>
            </w:pPr>
            <w:r>
              <w:rPr>
                <w:b/>
                <w:sz w:val="18"/>
              </w:rPr>
              <w:t>Indeks (%)</w:t>
            </w:r>
          </w:p>
        </w:tc>
      </w:tr>
      <w:tr w:rsidR="00367E91" w14:paraId="3B6326D3" w14:textId="77777777">
        <w:tblPrEx>
          <w:tblCellMar>
            <w:top w:w="0" w:type="dxa"/>
            <w:bottom w:w="0" w:type="dxa"/>
          </w:tblCellMar>
        </w:tblPrEx>
        <w:trPr>
          <w:cantSplit/>
          <w:trHeight w:val="560"/>
        </w:trPr>
        <w:tc>
          <w:tcPr>
            <w:tcW w:w="700" w:type="dxa"/>
            <w:tcMar>
              <w:top w:w="0" w:type="dxa"/>
              <w:bottom w:w="0" w:type="dxa"/>
            </w:tcMar>
            <w:vAlign w:val="center"/>
          </w:tcPr>
          <w:p w14:paraId="2BCD58FF" w14:textId="77777777" w:rsidR="00367E91" w:rsidRDefault="002B0324">
            <w:pPr>
              <w:keepNext/>
              <w:keepLines/>
              <w:spacing w:after="0" w:line="240" w:lineRule="auto"/>
            </w:pPr>
            <w:r>
              <w:rPr>
                <w:sz w:val="18"/>
              </w:rPr>
              <w:t>324</w:t>
            </w:r>
          </w:p>
        </w:tc>
        <w:tc>
          <w:tcPr>
            <w:tcW w:w="3180" w:type="dxa"/>
            <w:tcMar>
              <w:top w:w="0" w:type="dxa"/>
              <w:bottom w:w="0" w:type="dxa"/>
            </w:tcMar>
            <w:vAlign w:val="center"/>
          </w:tcPr>
          <w:p w14:paraId="7FDBEFBF" w14:textId="77777777" w:rsidR="00367E91" w:rsidRDefault="002B0324">
            <w:pPr>
              <w:keepNext/>
              <w:keepLines/>
              <w:spacing w:after="0" w:line="240" w:lineRule="auto"/>
            </w:pPr>
            <w:r>
              <w:rPr>
                <w:sz w:val="18"/>
              </w:rPr>
              <w:t>Naknade troškova osobama izvan radnog odnosa</w:t>
            </w:r>
          </w:p>
        </w:tc>
        <w:tc>
          <w:tcPr>
            <w:tcW w:w="700" w:type="dxa"/>
            <w:tcMar>
              <w:top w:w="0" w:type="dxa"/>
              <w:bottom w:w="0" w:type="dxa"/>
            </w:tcMar>
            <w:vAlign w:val="center"/>
          </w:tcPr>
          <w:p w14:paraId="33896CAC" w14:textId="77777777" w:rsidR="00367E91" w:rsidRDefault="002B0324">
            <w:pPr>
              <w:keepNext/>
              <w:keepLines/>
              <w:spacing w:after="0" w:line="240" w:lineRule="auto"/>
            </w:pPr>
            <w:r>
              <w:rPr>
                <w:sz w:val="18"/>
              </w:rPr>
              <w:t>324</w:t>
            </w:r>
          </w:p>
        </w:tc>
        <w:tc>
          <w:tcPr>
            <w:tcW w:w="1860" w:type="dxa"/>
            <w:tcMar>
              <w:top w:w="0" w:type="dxa"/>
              <w:bottom w:w="0" w:type="dxa"/>
            </w:tcMar>
            <w:vAlign w:val="center"/>
          </w:tcPr>
          <w:p w14:paraId="3A1AC6BF" w14:textId="77777777" w:rsidR="00367E91" w:rsidRDefault="002B0324">
            <w:pPr>
              <w:keepNext/>
              <w:keepLines/>
              <w:spacing w:after="0" w:line="240" w:lineRule="auto"/>
              <w:jc w:val="right"/>
            </w:pPr>
            <w:r>
              <w:rPr>
                <w:sz w:val="18"/>
              </w:rPr>
              <w:t>48.596,96</w:t>
            </w:r>
          </w:p>
        </w:tc>
        <w:tc>
          <w:tcPr>
            <w:tcW w:w="1860" w:type="dxa"/>
            <w:tcMar>
              <w:top w:w="0" w:type="dxa"/>
              <w:bottom w:w="0" w:type="dxa"/>
            </w:tcMar>
            <w:vAlign w:val="center"/>
          </w:tcPr>
          <w:p w14:paraId="30475312" w14:textId="77777777" w:rsidR="00367E91" w:rsidRDefault="002B0324">
            <w:pPr>
              <w:keepNext/>
              <w:keepLines/>
              <w:spacing w:after="0" w:line="240" w:lineRule="auto"/>
              <w:jc w:val="right"/>
            </w:pPr>
            <w:r>
              <w:rPr>
                <w:sz w:val="18"/>
              </w:rPr>
              <w:t>20.357,17</w:t>
            </w:r>
          </w:p>
        </w:tc>
        <w:tc>
          <w:tcPr>
            <w:tcW w:w="700" w:type="dxa"/>
            <w:tcMar>
              <w:top w:w="0" w:type="dxa"/>
              <w:bottom w:w="0" w:type="dxa"/>
            </w:tcMar>
            <w:vAlign w:val="center"/>
          </w:tcPr>
          <w:p w14:paraId="3B4AB088" w14:textId="77777777" w:rsidR="00367E91" w:rsidRDefault="002B0324">
            <w:pPr>
              <w:keepNext/>
              <w:keepLines/>
              <w:spacing w:after="0" w:line="240" w:lineRule="auto"/>
              <w:jc w:val="right"/>
            </w:pPr>
            <w:r>
              <w:rPr>
                <w:sz w:val="18"/>
              </w:rPr>
              <w:t>41,9</w:t>
            </w:r>
          </w:p>
        </w:tc>
      </w:tr>
    </w:tbl>
    <w:p w14:paraId="65D54930" w14:textId="77777777" w:rsidR="00367E91" w:rsidRDefault="00367E91">
      <w:pPr>
        <w:spacing w:after="0"/>
      </w:pPr>
    </w:p>
    <w:p w14:paraId="42659CCA" w14:textId="77777777" w:rsidR="00367E91" w:rsidRDefault="002B0324">
      <w:r>
        <w:t>u 2024. godini trošak putovanja i smještaja bio povećan zbog više dolazaka vanjskih suradnika, više putovanja studenata zbog studentskih aktivnosti; putovanje  studenata na nacionalni seminar u Splitu iz projekta UNIPAR</w:t>
      </w:r>
    </w:p>
    <w:p w14:paraId="4F3CCFDE" w14:textId="77777777" w:rsidR="00367E91" w:rsidRDefault="00367E91"/>
    <w:p w14:paraId="6AFF535C" w14:textId="77777777" w:rsidR="00367E91" w:rsidRDefault="002B0324">
      <w:pPr>
        <w:keepNext/>
        <w:spacing w:line="240" w:lineRule="auto"/>
        <w:jc w:val="center"/>
      </w:pPr>
      <w:r>
        <w:rPr>
          <w:sz w:val="28"/>
        </w:rPr>
        <w:t>Bilješka 25.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367E91" w14:paraId="4B7595A5"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02DD6D9" w14:textId="77777777" w:rsidR="00367E91" w:rsidRDefault="002B0324">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5998285C" w14:textId="77777777" w:rsidR="00367E91" w:rsidRDefault="002B0324">
            <w:pPr>
              <w:keepNext/>
              <w:keepLines/>
              <w:spacing w:after="0" w:line="240" w:lineRule="auto"/>
              <w:jc w:val="center"/>
            </w:pPr>
            <w:r>
              <w:rPr>
                <w:b/>
                <w:sz w:val="18"/>
              </w:rPr>
              <w:t>Op</w:t>
            </w:r>
            <w:r>
              <w:rPr>
                <w:b/>
                <w:sz w:val="18"/>
              </w:rPr>
              <w:t>is stavke</w:t>
            </w:r>
          </w:p>
        </w:tc>
        <w:tc>
          <w:tcPr>
            <w:tcW w:w="700" w:type="dxa"/>
            <w:shd w:val="clear" w:color="auto" w:fill="E7F0F9"/>
            <w:tcMar>
              <w:top w:w="0" w:type="dxa"/>
              <w:bottom w:w="0" w:type="dxa"/>
            </w:tcMar>
            <w:vAlign w:val="center"/>
          </w:tcPr>
          <w:p w14:paraId="3D512FFB" w14:textId="77777777" w:rsidR="00367E91" w:rsidRDefault="002B0324">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EAA92DD" w14:textId="77777777" w:rsidR="00367E91" w:rsidRDefault="002B0324">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0D10A98" w14:textId="77777777" w:rsidR="00367E91" w:rsidRDefault="002B0324">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E9028B0" w14:textId="77777777" w:rsidR="00367E91" w:rsidRDefault="002B0324">
            <w:pPr>
              <w:keepNext/>
              <w:keepLines/>
              <w:spacing w:after="0" w:line="240" w:lineRule="auto"/>
              <w:jc w:val="center"/>
            </w:pPr>
            <w:r>
              <w:rPr>
                <w:b/>
                <w:sz w:val="18"/>
              </w:rPr>
              <w:t>Indeks (%)</w:t>
            </w:r>
          </w:p>
        </w:tc>
      </w:tr>
      <w:tr w:rsidR="00367E91" w14:paraId="70D4A005" w14:textId="77777777">
        <w:tblPrEx>
          <w:tblCellMar>
            <w:top w:w="0" w:type="dxa"/>
            <w:bottom w:w="0" w:type="dxa"/>
          </w:tblCellMar>
        </w:tblPrEx>
        <w:trPr>
          <w:cantSplit/>
          <w:trHeight w:val="560"/>
        </w:trPr>
        <w:tc>
          <w:tcPr>
            <w:tcW w:w="700" w:type="dxa"/>
            <w:tcMar>
              <w:top w:w="0" w:type="dxa"/>
              <w:bottom w:w="0" w:type="dxa"/>
            </w:tcMar>
            <w:vAlign w:val="center"/>
          </w:tcPr>
          <w:p w14:paraId="78FAAD22" w14:textId="77777777" w:rsidR="00367E91" w:rsidRDefault="002B0324">
            <w:pPr>
              <w:keepNext/>
              <w:keepLines/>
              <w:spacing w:after="0" w:line="240" w:lineRule="auto"/>
            </w:pPr>
            <w:r>
              <w:rPr>
                <w:sz w:val="18"/>
              </w:rPr>
              <w:t>3293</w:t>
            </w:r>
          </w:p>
        </w:tc>
        <w:tc>
          <w:tcPr>
            <w:tcW w:w="3180" w:type="dxa"/>
            <w:tcMar>
              <w:top w:w="0" w:type="dxa"/>
              <w:bottom w:w="0" w:type="dxa"/>
            </w:tcMar>
            <w:vAlign w:val="center"/>
          </w:tcPr>
          <w:p w14:paraId="43D0FB85" w14:textId="77777777" w:rsidR="00367E91" w:rsidRDefault="002B0324">
            <w:pPr>
              <w:keepNext/>
              <w:keepLines/>
              <w:spacing w:after="0" w:line="240" w:lineRule="auto"/>
            </w:pPr>
            <w:r>
              <w:rPr>
                <w:sz w:val="18"/>
              </w:rPr>
              <w:t>Reprezentacija</w:t>
            </w:r>
          </w:p>
        </w:tc>
        <w:tc>
          <w:tcPr>
            <w:tcW w:w="700" w:type="dxa"/>
            <w:tcMar>
              <w:top w:w="0" w:type="dxa"/>
              <w:bottom w:w="0" w:type="dxa"/>
            </w:tcMar>
            <w:vAlign w:val="center"/>
          </w:tcPr>
          <w:p w14:paraId="434DF50F" w14:textId="77777777" w:rsidR="00367E91" w:rsidRDefault="002B0324">
            <w:pPr>
              <w:keepNext/>
              <w:keepLines/>
              <w:spacing w:after="0" w:line="240" w:lineRule="auto"/>
            </w:pPr>
            <w:r>
              <w:rPr>
                <w:sz w:val="18"/>
              </w:rPr>
              <w:t>3293</w:t>
            </w:r>
          </w:p>
        </w:tc>
        <w:tc>
          <w:tcPr>
            <w:tcW w:w="1860" w:type="dxa"/>
            <w:tcMar>
              <w:top w:w="0" w:type="dxa"/>
              <w:bottom w:w="0" w:type="dxa"/>
            </w:tcMar>
            <w:vAlign w:val="center"/>
          </w:tcPr>
          <w:p w14:paraId="20BF0ED4" w14:textId="77777777" w:rsidR="00367E91" w:rsidRDefault="002B0324">
            <w:pPr>
              <w:keepNext/>
              <w:keepLines/>
              <w:spacing w:after="0" w:line="240" w:lineRule="auto"/>
              <w:jc w:val="right"/>
            </w:pPr>
            <w:r>
              <w:rPr>
                <w:sz w:val="18"/>
              </w:rPr>
              <w:t>37.203,16</w:t>
            </w:r>
          </w:p>
        </w:tc>
        <w:tc>
          <w:tcPr>
            <w:tcW w:w="1860" w:type="dxa"/>
            <w:tcMar>
              <w:top w:w="0" w:type="dxa"/>
              <w:bottom w:w="0" w:type="dxa"/>
            </w:tcMar>
            <w:vAlign w:val="center"/>
          </w:tcPr>
          <w:p w14:paraId="5CA88E57" w14:textId="77777777" w:rsidR="00367E91" w:rsidRDefault="002B0324">
            <w:pPr>
              <w:keepNext/>
              <w:keepLines/>
              <w:spacing w:after="0" w:line="240" w:lineRule="auto"/>
              <w:jc w:val="right"/>
            </w:pPr>
            <w:r>
              <w:rPr>
                <w:sz w:val="18"/>
              </w:rPr>
              <w:t>25.513,71</w:t>
            </w:r>
          </w:p>
        </w:tc>
        <w:tc>
          <w:tcPr>
            <w:tcW w:w="700" w:type="dxa"/>
            <w:tcMar>
              <w:top w:w="0" w:type="dxa"/>
              <w:bottom w:w="0" w:type="dxa"/>
            </w:tcMar>
            <w:vAlign w:val="center"/>
          </w:tcPr>
          <w:p w14:paraId="496989B4" w14:textId="77777777" w:rsidR="00367E91" w:rsidRDefault="002B0324">
            <w:pPr>
              <w:keepNext/>
              <w:keepLines/>
              <w:spacing w:after="0" w:line="240" w:lineRule="auto"/>
              <w:jc w:val="right"/>
            </w:pPr>
            <w:r>
              <w:rPr>
                <w:sz w:val="18"/>
              </w:rPr>
              <w:t>68,6</w:t>
            </w:r>
          </w:p>
        </w:tc>
      </w:tr>
    </w:tbl>
    <w:p w14:paraId="280BD3A8" w14:textId="77777777" w:rsidR="00367E91" w:rsidRDefault="00367E91">
      <w:pPr>
        <w:spacing w:after="0"/>
      </w:pPr>
    </w:p>
    <w:p w14:paraId="68C3A6FA" w14:textId="77777777" w:rsidR="00367E91" w:rsidRDefault="002B0324">
      <w:r>
        <w:t>u 2024. Zbog aktivnosti na projektima veći rashodi za reprezentaciju; u 2025.  Dio raashoda zbog obilježavanja 50-te obljetnice Fakulteta</w:t>
      </w:r>
    </w:p>
    <w:p w14:paraId="34E9A195" w14:textId="77777777" w:rsidR="00367E91" w:rsidRDefault="00367E91"/>
    <w:p w14:paraId="01E8A607" w14:textId="77777777" w:rsidR="00367E91" w:rsidRDefault="002B0324">
      <w:pPr>
        <w:keepNext/>
        <w:spacing w:line="240" w:lineRule="auto"/>
        <w:jc w:val="center"/>
      </w:pPr>
      <w:r>
        <w:rPr>
          <w:sz w:val="28"/>
        </w:rPr>
        <w:lastRenderedPageBreak/>
        <w:t>Bilješka 26.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367E91" w14:paraId="1BA06D1C"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536064D" w14:textId="77777777" w:rsidR="00367E91" w:rsidRDefault="002B0324">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149C94D0" w14:textId="77777777" w:rsidR="00367E91" w:rsidRDefault="002B0324">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605BC10" w14:textId="77777777" w:rsidR="00367E91" w:rsidRDefault="002B0324">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50C9D1C" w14:textId="77777777" w:rsidR="00367E91" w:rsidRDefault="002B0324">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FF41935" w14:textId="77777777" w:rsidR="00367E91" w:rsidRDefault="002B0324">
            <w:pPr>
              <w:keepNext/>
              <w:keepLines/>
              <w:spacing w:after="0" w:line="240" w:lineRule="auto"/>
              <w:jc w:val="center"/>
            </w:pPr>
            <w:r>
              <w:rPr>
                <w:b/>
                <w:sz w:val="18"/>
              </w:rPr>
              <w:t>Ostvareno u iz</w:t>
            </w:r>
            <w:r>
              <w:rPr>
                <w:b/>
                <w:sz w:val="18"/>
              </w:rPr>
              <w:t>vještajnom razdoblju tekuće godine</w:t>
            </w:r>
          </w:p>
        </w:tc>
        <w:tc>
          <w:tcPr>
            <w:tcW w:w="700" w:type="dxa"/>
            <w:shd w:val="clear" w:color="auto" w:fill="E7F0F9"/>
            <w:tcMar>
              <w:top w:w="0" w:type="dxa"/>
              <w:bottom w:w="0" w:type="dxa"/>
            </w:tcMar>
            <w:vAlign w:val="center"/>
          </w:tcPr>
          <w:p w14:paraId="1277DE86" w14:textId="77777777" w:rsidR="00367E91" w:rsidRDefault="002B0324">
            <w:pPr>
              <w:keepNext/>
              <w:keepLines/>
              <w:spacing w:after="0" w:line="240" w:lineRule="auto"/>
              <w:jc w:val="center"/>
            </w:pPr>
            <w:r>
              <w:rPr>
                <w:b/>
                <w:sz w:val="18"/>
              </w:rPr>
              <w:t>Indeks (%)</w:t>
            </w:r>
          </w:p>
        </w:tc>
      </w:tr>
      <w:tr w:rsidR="00367E91" w14:paraId="07DFD102" w14:textId="77777777">
        <w:tblPrEx>
          <w:tblCellMar>
            <w:top w:w="0" w:type="dxa"/>
            <w:bottom w:w="0" w:type="dxa"/>
          </w:tblCellMar>
        </w:tblPrEx>
        <w:trPr>
          <w:cantSplit/>
          <w:trHeight w:val="560"/>
        </w:trPr>
        <w:tc>
          <w:tcPr>
            <w:tcW w:w="700" w:type="dxa"/>
            <w:tcMar>
              <w:top w:w="0" w:type="dxa"/>
              <w:bottom w:w="0" w:type="dxa"/>
            </w:tcMar>
            <w:vAlign w:val="center"/>
          </w:tcPr>
          <w:p w14:paraId="74868803" w14:textId="77777777" w:rsidR="00367E91" w:rsidRDefault="002B0324">
            <w:pPr>
              <w:keepNext/>
              <w:keepLines/>
              <w:spacing w:after="0" w:line="240" w:lineRule="auto"/>
            </w:pPr>
            <w:r>
              <w:rPr>
                <w:sz w:val="18"/>
              </w:rPr>
              <w:t>3294</w:t>
            </w:r>
          </w:p>
        </w:tc>
        <w:tc>
          <w:tcPr>
            <w:tcW w:w="3180" w:type="dxa"/>
            <w:tcMar>
              <w:top w:w="0" w:type="dxa"/>
              <w:bottom w:w="0" w:type="dxa"/>
            </w:tcMar>
            <w:vAlign w:val="center"/>
          </w:tcPr>
          <w:p w14:paraId="681CC7CF" w14:textId="77777777" w:rsidR="00367E91" w:rsidRDefault="002B0324">
            <w:pPr>
              <w:keepNext/>
              <w:keepLines/>
              <w:spacing w:after="0" w:line="240" w:lineRule="auto"/>
            </w:pPr>
            <w:r>
              <w:rPr>
                <w:sz w:val="18"/>
              </w:rPr>
              <w:t>Članarine i norme</w:t>
            </w:r>
          </w:p>
        </w:tc>
        <w:tc>
          <w:tcPr>
            <w:tcW w:w="700" w:type="dxa"/>
            <w:tcMar>
              <w:top w:w="0" w:type="dxa"/>
              <w:bottom w:w="0" w:type="dxa"/>
            </w:tcMar>
            <w:vAlign w:val="center"/>
          </w:tcPr>
          <w:p w14:paraId="332A3F9E" w14:textId="77777777" w:rsidR="00367E91" w:rsidRDefault="002B0324">
            <w:pPr>
              <w:keepNext/>
              <w:keepLines/>
              <w:spacing w:after="0" w:line="240" w:lineRule="auto"/>
            </w:pPr>
            <w:r>
              <w:rPr>
                <w:sz w:val="18"/>
              </w:rPr>
              <w:t>3294</w:t>
            </w:r>
          </w:p>
        </w:tc>
        <w:tc>
          <w:tcPr>
            <w:tcW w:w="1860" w:type="dxa"/>
            <w:tcMar>
              <w:top w:w="0" w:type="dxa"/>
              <w:bottom w:w="0" w:type="dxa"/>
            </w:tcMar>
            <w:vAlign w:val="center"/>
          </w:tcPr>
          <w:p w14:paraId="76D76E0E" w14:textId="77777777" w:rsidR="00367E91" w:rsidRDefault="002B0324">
            <w:pPr>
              <w:keepNext/>
              <w:keepLines/>
              <w:spacing w:after="0" w:line="240" w:lineRule="auto"/>
              <w:jc w:val="right"/>
            </w:pPr>
            <w:r>
              <w:rPr>
                <w:sz w:val="18"/>
              </w:rPr>
              <w:t>3.279,67</w:t>
            </w:r>
          </w:p>
        </w:tc>
        <w:tc>
          <w:tcPr>
            <w:tcW w:w="1860" w:type="dxa"/>
            <w:tcMar>
              <w:top w:w="0" w:type="dxa"/>
              <w:bottom w:w="0" w:type="dxa"/>
            </w:tcMar>
            <w:vAlign w:val="center"/>
          </w:tcPr>
          <w:p w14:paraId="41A6113D" w14:textId="77777777" w:rsidR="00367E91" w:rsidRDefault="002B0324">
            <w:pPr>
              <w:keepNext/>
              <w:keepLines/>
              <w:spacing w:after="0" w:line="240" w:lineRule="auto"/>
              <w:jc w:val="right"/>
            </w:pPr>
            <w:r>
              <w:rPr>
                <w:sz w:val="18"/>
              </w:rPr>
              <w:t>1.931,94</w:t>
            </w:r>
          </w:p>
        </w:tc>
        <w:tc>
          <w:tcPr>
            <w:tcW w:w="700" w:type="dxa"/>
            <w:tcMar>
              <w:top w:w="0" w:type="dxa"/>
              <w:bottom w:w="0" w:type="dxa"/>
            </w:tcMar>
            <w:vAlign w:val="center"/>
          </w:tcPr>
          <w:p w14:paraId="1AF01845" w14:textId="77777777" w:rsidR="00367E91" w:rsidRDefault="002B0324">
            <w:pPr>
              <w:keepNext/>
              <w:keepLines/>
              <w:spacing w:after="0" w:line="240" w:lineRule="auto"/>
              <w:jc w:val="right"/>
            </w:pPr>
            <w:r>
              <w:rPr>
                <w:sz w:val="18"/>
              </w:rPr>
              <w:t>58,9</w:t>
            </w:r>
          </w:p>
        </w:tc>
      </w:tr>
    </w:tbl>
    <w:p w14:paraId="3061E736" w14:textId="77777777" w:rsidR="00367E91" w:rsidRDefault="00367E91">
      <w:pPr>
        <w:spacing w:after="0"/>
      </w:pPr>
    </w:p>
    <w:p w14:paraId="36EFBFE9" w14:textId="77777777" w:rsidR="00367E91" w:rsidRDefault="002B0324">
      <w:r>
        <w:t>U 2024. Plaćena članarina za studentsku organizaciju ELSA i Zakladu Jadranko Crnić, što u 2025. rashod nismo imali.</w:t>
      </w:r>
    </w:p>
    <w:p w14:paraId="26A21773" w14:textId="77777777" w:rsidR="00367E91" w:rsidRDefault="00367E91"/>
    <w:p w14:paraId="336A6D65" w14:textId="77777777" w:rsidR="00367E91" w:rsidRDefault="002B0324">
      <w:pPr>
        <w:keepNext/>
        <w:spacing w:line="240" w:lineRule="auto"/>
        <w:jc w:val="center"/>
      </w:pPr>
      <w:r>
        <w:rPr>
          <w:sz w:val="28"/>
        </w:rPr>
        <w:t>Bilješka 27.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367E91" w14:paraId="6BCA37AD"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4F394A2" w14:textId="77777777" w:rsidR="00367E91" w:rsidRDefault="002B0324">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5F99D5A1" w14:textId="77777777" w:rsidR="00367E91" w:rsidRDefault="002B0324">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BA565F8" w14:textId="77777777" w:rsidR="00367E91" w:rsidRDefault="002B0324">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345A4D4" w14:textId="77777777" w:rsidR="00367E91" w:rsidRDefault="002B0324">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1D1024E" w14:textId="77777777" w:rsidR="00367E91" w:rsidRDefault="002B0324">
            <w:pPr>
              <w:keepNext/>
              <w:keepLines/>
              <w:spacing w:after="0" w:line="240" w:lineRule="auto"/>
              <w:jc w:val="center"/>
            </w:pPr>
            <w:r>
              <w:rPr>
                <w:b/>
                <w:sz w:val="18"/>
              </w:rPr>
              <w:t>Ostvareno u izvještajnom razdoblju t</w:t>
            </w:r>
            <w:r>
              <w:rPr>
                <w:b/>
                <w:sz w:val="18"/>
              </w:rPr>
              <w:t>ekuće godine</w:t>
            </w:r>
          </w:p>
        </w:tc>
        <w:tc>
          <w:tcPr>
            <w:tcW w:w="700" w:type="dxa"/>
            <w:shd w:val="clear" w:color="auto" w:fill="E7F0F9"/>
            <w:tcMar>
              <w:top w:w="0" w:type="dxa"/>
              <w:bottom w:w="0" w:type="dxa"/>
            </w:tcMar>
            <w:vAlign w:val="center"/>
          </w:tcPr>
          <w:p w14:paraId="6A522109" w14:textId="77777777" w:rsidR="00367E91" w:rsidRDefault="002B0324">
            <w:pPr>
              <w:keepNext/>
              <w:keepLines/>
              <w:spacing w:after="0" w:line="240" w:lineRule="auto"/>
              <w:jc w:val="center"/>
            </w:pPr>
            <w:r>
              <w:rPr>
                <w:b/>
                <w:sz w:val="18"/>
              </w:rPr>
              <w:t>Indeks (%)</w:t>
            </w:r>
          </w:p>
        </w:tc>
      </w:tr>
      <w:tr w:rsidR="00367E91" w14:paraId="05F43FD9" w14:textId="77777777">
        <w:tblPrEx>
          <w:tblCellMar>
            <w:top w:w="0" w:type="dxa"/>
            <w:bottom w:w="0" w:type="dxa"/>
          </w:tblCellMar>
        </w:tblPrEx>
        <w:trPr>
          <w:cantSplit/>
          <w:trHeight w:val="560"/>
        </w:trPr>
        <w:tc>
          <w:tcPr>
            <w:tcW w:w="700" w:type="dxa"/>
            <w:tcMar>
              <w:top w:w="0" w:type="dxa"/>
              <w:bottom w:w="0" w:type="dxa"/>
            </w:tcMar>
            <w:vAlign w:val="center"/>
          </w:tcPr>
          <w:p w14:paraId="47C6C6C8" w14:textId="77777777" w:rsidR="00367E91" w:rsidRDefault="002B0324">
            <w:pPr>
              <w:keepNext/>
              <w:keepLines/>
              <w:spacing w:after="0" w:line="240" w:lineRule="auto"/>
            </w:pPr>
            <w:r>
              <w:rPr>
                <w:sz w:val="18"/>
              </w:rPr>
              <w:t>3295</w:t>
            </w:r>
          </w:p>
        </w:tc>
        <w:tc>
          <w:tcPr>
            <w:tcW w:w="3180" w:type="dxa"/>
            <w:tcMar>
              <w:top w:w="0" w:type="dxa"/>
              <w:bottom w:w="0" w:type="dxa"/>
            </w:tcMar>
            <w:vAlign w:val="center"/>
          </w:tcPr>
          <w:p w14:paraId="2FC4C5E4" w14:textId="77777777" w:rsidR="00367E91" w:rsidRDefault="002B0324">
            <w:pPr>
              <w:keepNext/>
              <w:keepLines/>
              <w:spacing w:after="0" w:line="240" w:lineRule="auto"/>
            </w:pPr>
            <w:r>
              <w:rPr>
                <w:sz w:val="18"/>
              </w:rPr>
              <w:t>Pristojbe i naknade</w:t>
            </w:r>
          </w:p>
        </w:tc>
        <w:tc>
          <w:tcPr>
            <w:tcW w:w="700" w:type="dxa"/>
            <w:tcMar>
              <w:top w:w="0" w:type="dxa"/>
              <w:bottom w:w="0" w:type="dxa"/>
            </w:tcMar>
            <w:vAlign w:val="center"/>
          </w:tcPr>
          <w:p w14:paraId="2AE89080" w14:textId="77777777" w:rsidR="00367E91" w:rsidRDefault="002B0324">
            <w:pPr>
              <w:keepNext/>
              <w:keepLines/>
              <w:spacing w:after="0" w:line="240" w:lineRule="auto"/>
            </w:pPr>
            <w:r>
              <w:rPr>
                <w:sz w:val="18"/>
              </w:rPr>
              <w:t>3295</w:t>
            </w:r>
          </w:p>
        </w:tc>
        <w:tc>
          <w:tcPr>
            <w:tcW w:w="1860" w:type="dxa"/>
            <w:tcMar>
              <w:top w:w="0" w:type="dxa"/>
              <w:bottom w:w="0" w:type="dxa"/>
            </w:tcMar>
            <w:vAlign w:val="center"/>
          </w:tcPr>
          <w:p w14:paraId="36FC3BB8" w14:textId="77777777" w:rsidR="00367E91" w:rsidRDefault="002B0324">
            <w:pPr>
              <w:keepNext/>
              <w:keepLines/>
              <w:spacing w:after="0" w:line="240" w:lineRule="auto"/>
              <w:jc w:val="right"/>
            </w:pPr>
            <w:r>
              <w:rPr>
                <w:sz w:val="18"/>
              </w:rPr>
              <w:t>1.244,42</w:t>
            </w:r>
          </w:p>
        </w:tc>
        <w:tc>
          <w:tcPr>
            <w:tcW w:w="1860" w:type="dxa"/>
            <w:tcMar>
              <w:top w:w="0" w:type="dxa"/>
              <w:bottom w:w="0" w:type="dxa"/>
            </w:tcMar>
            <w:vAlign w:val="center"/>
          </w:tcPr>
          <w:p w14:paraId="058BC4AF" w14:textId="77777777" w:rsidR="00367E91" w:rsidRDefault="002B0324">
            <w:pPr>
              <w:keepNext/>
              <w:keepLines/>
              <w:spacing w:after="0" w:line="240" w:lineRule="auto"/>
              <w:jc w:val="right"/>
            </w:pPr>
            <w:r>
              <w:rPr>
                <w:sz w:val="18"/>
              </w:rPr>
              <w:t>382,32</w:t>
            </w:r>
          </w:p>
        </w:tc>
        <w:tc>
          <w:tcPr>
            <w:tcW w:w="700" w:type="dxa"/>
            <w:tcMar>
              <w:top w:w="0" w:type="dxa"/>
              <w:bottom w:w="0" w:type="dxa"/>
            </w:tcMar>
            <w:vAlign w:val="center"/>
          </w:tcPr>
          <w:p w14:paraId="5E0521F3" w14:textId="77777777" w:rsidR="00367E91" w:rsidRDefault="002B0324">
            <w:pPr>
              <w:keepNext/>
              <w:keepLines/>
              <w:spacing w:after="0" w:line="240" w:lineRule="auto"/>
              <w:jc w:val="right"/>
            </w:pPr>
            <w:r>
              <w:rPr>
                <w:sz w:val="18"/>
              </w:rPr>
              <w:t>30,7</w:t>
            </w:r>
          </w:p>
        </w:tc>
      </w:tr>
    </w:tbl>
    <w:p w14:paraId="06420FC6" w14:textId="77777777" w:rsidR="00367E91" w:rsidRDefault="00367E91">
      <w:pPr>
        <w:spacing w:after="0"/>
      </w:pPr>
    </w:p>
    <w:p w14:paraId="2F63CB4A" w14:textId="77777777" w:rsidR="00367E91" w:rsidRDefault="002B0324">
      <w:r>
        <w:t>U 2024. godini pored pistojbi za HRT , bile su knjižene i ovjere potpisa kod javnih bilježnika, te Zapisnika o sindikalnom prosvjedu, u 2025. godini knjižena je samo pristojba HRT-a.</w:t>
      </w:r>
    </w:p>
    <w:p w14:paraId="227A9DBE" w14:textId="77777777" w:rsidR="00367E91" w:rsidRDefault="00367E91"/>
    <w:p w14:paraId="55023CEB" w14:textId="77777777" w:rsidR="00367E91" w:rsidRDefault="002B0324">
      <w:pPr>
        <w:keepNext/>
        <w:spacing w:line="240" w:lineRule="auto"/>
        <w:jc w:val="center"/>
      </w:pPr>
      <w:r>
        <w:rPr>
          <w:sz w:val="28"/>
        </w:rPr>
        <w:t>Bilješka 28.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367E91" w14:paraId="48B3D02A"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1E7D45E" w14:textId="77777777" w:rsidR="00367E91" w:rsidRDefault="002B0324">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45CB018D" w14:textId="77777777" w:rsidR="00367E91" w:rsidRDefault="002B0324">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8074B2D" w14:textId="77777777" w:rsidR="00367E91" w:rsidRDefault="002B0324">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ADBC5BA" w14:textId="77777777" w:rsidR="00367E91" w:rsidRDefault="002B0324">
            <w:pPr>
              <w:keepNext/>
              <w:keepLines/>
              <w:spacing w:after="0" w:line="240" w:lineRule="auto"/>
              <w:jc w:val="center"/>
            </w:pPr>
            <w:r>
              <w:rPr>
                <w:b/>
                <w:sz w:val="18"/>
              </w:rPr>
              <w:t xml:space="preserve">Ostvareno u </w:t>
            </w:r>
            <w:r>
              <w:rPr>
                <w:b/>
                <w:sz w:val="18"/>
              </w:rPr>
              <w:t>izvještajnom razdoblju prethodne godine</w:t>
            </w:r>
          </w:p>
        </w:tc>
        <w:tc>
          <w:tcPr>
            <w:tcW w:w="1860" w:type="dxa"/>
            <w:shd w:val="clear" w:color="auto" w:fill="E7F0F9"/>
            <w:tcMar>
              <w:top w:w="0" w:type="dxa"/>
              <w:bottom w:w="0" w:type="dxa"/>
            </w:tcMar>
            <w:vAlign w:val="center"/>
          </w:tcPr>
          <w:p w14:paraId="0C3D5C3F" w14:textId="77777777" w:rsidR="00367E91" w:rsidRDefault="002B0324">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908911D" w14:textId="77777777" w:rsidR="00367E91" w:rsidRDefault="002B0324">
            <w:pPr>
              <w:keepNext/>
              <w:keepLines/>
              <w:spacing w:after="0" w:line="240" w:lineRule="auto"/>
              <w:jc w:val="center"/>
            </w:pPr>
            <w:r>
              <w:rPr>
                <w:b/>
                <w:sz w:val="18"/>
              </w:rPr>
              <w:t>Indeks (%)</w:t>
            </w:r>
          </w:p>
        </w:tc>
      </w:tr>
      <w:tr w:rsidR="00367E91" w14:paraId="5D3200E4" w14:textId="77777777">
        <w:tblPrEx>
          <w:tblCellMar>
            <w:top w:w="0" w:type="dxa"/>
            <w:bottom w:w="0" w:type="dxa"/>
          </w:tblCellMar>
        </w:tblPrEx>
        <w:trPr>
          <w:cantSplit/>
          <w:trHeight w:val="560"/>
        </w:trPr>
        <w:tc>
          <w:tcPr>
            <w:tcW w:w="700" w:type="dxa"/>
            <w:tcMar>
              <w:top w:w="0" w:type="dxa"/>
              <w:bottom w:w="0" w:type="dxa"/>
            </w:tcMar>
            <w:vAlign w:val="center"/>
          </w:tcPr>
          <w:p w14:paraId="3545B1CD" w14:textId="77777777" w:rsidR="00367E91" w:rsidRDefault="002B0324">
            <w:pPr>
              <w:keepNext/>
              <w:keepLines/>
              <w:spacing w:after="0" w:line="240" w:lineRule="auto"/>
            </w:pPr>
            <w:r>
              <w:rPr>
                <w:sz w:val="18"/>
              </w:rPr>
              <w:t>3296</w:t>
            </w:r>
          </w:p>
        </w:tc>
        <w:tc>
          <w:tcPr>
            <w:tcW w:w="3180" w:type="dxa"/>
            <w:tcMar>
              <w:top w:w="0" w:type="dxa"/>
              <w:bottom w:w="0" w:type="dxa"/>
            </w:tcMar>
            <w:vAlign w:val="center"/>
          </w:tcPr>
          <w:p w14:paraId="4DC2D772" w14:textId="77777777" w:rsidR="00367E91" w:rsidRDefault="002B0324">
            <w:pPr>
              <w:keepNext/>
              <w:keepLines/>
              <w:spacing w:after="0" w:line="240" w:lineRule="auto"/>
            </w:pPr>
            <w:r>
              <w:rPr>
                <w:sz w:val="18"/>
              </w:rPr>
              <w:t>Troškovi sudskih postupaka</w:t>
            </w:r>
          </w:p>
        </w:tc>
        <w:tc>
          <w:tcPr>
            <w:tcW w:w="700" w:type="dxa"/>
            <w:tcMar>
              <w:top w:w="0" w:type="dxa"/>
              <w:bottom w:w="0" w:type="dxa"/>
            </w:tcMar>
            <w:vAlign w:val="center"/>
          </w:tcPr>
          <w:p w14:paraId="46CFFF50" w14:textId="77777777" w:rsidR="00367E91" w:rsidRDefault="002B0324">
            <w:pPr>
              <w:keepNext/>
              <w:keepLines/>
              <w:spacing w:after="0" w:line="240" w:lineRule="auto"/>
            </w:pPr>
            <w:r>
              <w:rPr>
                <w:sz w:val="18"/>
              </w:rPr>
              <w:t>3296</w:t>
            </w:r>
          </w:p>
        </w:tc>
        <w:tc>
          <w:tcPr>
            <w:tcW w:w="1860" w:type="dxa"/>
            <w:tcMar>
              <w:top w:w="0" w:type="dxa"/>
              <w:bottom w:w="0" w:type="dxa"/>
            </w:tcMar>
            <w:vAlign w:val="center"/>
          </w:tcPr>
          <w:p w14:paraId="3482842B" w14:textId="77777777" w:rsidR="00367E91" w:rsidRDefault="002B0324">
            <w:pPr>
              <w:keepNext/>
              <w:keepLines/>
              <w:spacing w:after="0" w:line="240" w:lineRule="auto"/>
              <w:jc w:val="right"/>
            </w:pPr>
            <w:r>
              <w:rPr>
                <w:sz w:val="18"/>
              </w:rPr>
              <w:t>0,00</w:t>
            </w:r>
          </w:p>
        </w:tc>
        <w:tc>
          <w:tcPr>
            <w:tcW w:w="1860" w:type="dxa"/>
            <w:tcMar>
              <w:top w:w="0" w:type="dxa"/>
              <w:bottom w:w="0" w:type="dxa"/>
            </w:tcMar>
            <w:vAlign w:val="center"/>
          </w:tcPr>
          <w:p w14:paraId="0E1532E0" w14:textId="77777777" w:rsidR="00367E91" w:rsidRDefault="002B0324">
            <w:pPr>
              <w:keepNext/>
              <w:keepLines/>
              <w:spacing w:after="0" w:line="240" w:lineRule="auto"/>
              <w:jc w:val="right"/>
            </w:pPr>
            <w:r>
              <w:rPr>
                <w:sz w:val="18"/>
              </w:rPr>
              <w:t>519,91</w:t>
            </w:r>
          </w:p>
        </w:tc>
        <w:tc>
          <w:tcPr>
            <w:tcW w:w="700" w:type="dxa"/>
            <w:tcMar>
              <w:top w:w="0" w:type="dxa"/>
              <w:bottom w:w="0" w:type="dxa"/>
            </w:tcMar>
            <w:vAlign w:val="center"/>
          </w:tcPr>
          <w:p w14:paraId="5E4D7944" w14:textId="77777777" w:rsidR="00367E91" w:rsidRDefault="002B0324">
            <w:pPr>
              <w:keepNext/>
              <w:keepLines/>
              <w:spacing w:after="0" w:line="240" w:lineRule="auto"/>
              <w:jc w:val="right"/>
            </w:pPr>
            <w:r>
              <w:rPr>
                <w:sz w:val="18"/>
              </w:rPr>
              <w:t>-</w:t>
            </w:r>
          </w:p>
        </w:tc>
      </w:tr>
    </w:tbl>
    <w:p w14:paraId="625906D7" w14:textId="77777777" w:rsidR="00367E91" w:rsidRDefault="00367E91">
      <w:pPr>
        <w:spacing w:after="0"/>
      </w:pPr>
    </w:p>
    <w:p w14:paraId="0C68420C" w14:textId="77777777" w:rsidR="00367E91" w:rsidRDefault="002B0324">
      <w:r>
        <w:t>Rashodi se odnose na provođenje vještačenja u iznosu od 500,00 €, i 19,91 € za pokretanje ovrhe u FINA-i za naplatu troška zbog pozitivno riješenog sudskog procesa </w:t>
      </w:r>
    </w:p>
    <w:p w14:paraId="16BA74F8" w14:textId="77777777" w:rsidR="00367E91" w:rsidRDefault="00367E91"/>
    <w:p w14:paraId="0A2600D3" w14:textId="77777777" w:rsidR="00367E91" w:rsidRDefault="002B0324">
      <w:pPr>
        <w:keepNext/>
        <w:spacing w:line="240" w:lineRule="auto"/>
        <w:jc w:val="center"/>
      </w:pPr>
      <w:r>
        <w:rPr>
          <w:sz w:val="28"/>
        </w:rPr>
        <w:t>Bilješka 29.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367E91" w14:paraId="2C8E7286"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EFA5100" w14:textId="77777777" w:rsidR="00367E91" w:rsidRDefault="002B0324">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14026F9A" w14:textId="77777777" w:rsidR="00367E91" w:rsidRDefault="002B0324">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C803180" w14:textId="77777777" w:rsidR="00367E91" w:rsidRDefault="002B0324">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CF7CB14" w14:textId="77777777" w:rsidR="00367E91" w:rsidRDefault="002B0324">
            <w:pPr>
              <w:keepNext/>
              <w:keepLines/>
              <w:spacing w:after="0" w:line="240" w:lineRule="auto"/>
              <w:jc w:val="center"/>
            </w:pPr>
            <w:r>
              <w:rPr>
                <w:b/>
                <w:sz w:val="18"/>
              </w:rPr>
              <w:t>Ostvareno u izvještajnom razdoblju pret</w:t>
            </w:r>
            <w:r>
              <w:rPr>
                <w:b/>
                <w:sz w:val="18"/>
              </w:rPr>
              <w:t>hodne godine</w:t>
            </w:r>
          </w:p>
        </w:tc>
        <w:tc>
          <w:tcPr>
            <w:tcW w:w="1860" w:type="dxa"/>
            <w:shd w:val="clear" w:color="auto" w:fill="E7F0F9"/>
            <w:tcMar>
              <w:top w:w="0" w:type="dxa"/>
              <w:bottom w:w="0" w:type="dxa"/>
            </w:tcMar>
            <w:vAlign w:val="center"/>
          </w:tcPr>
          <w:p w14:paraId="69366DFE" w14:textId="77777777" w:rsidR="00367E91" w:rsidRDefault="002B0324">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8269E29" w14:textId="77777777" w:rsidR="00367E91" w:rsidRDefault="002B0324">
            <w:pPr>
              <w:keepNext/>
              <w:keepLines/>
              <w:spacing w:after="0" w:line="240" w:lineRule="auto"/>
              <w:jc w:val="center"/>
            </w:pPr>
            <w:r>
              <w:rPr>
                <w:b/>
                <w:sz w:val="18"/>
              </w:rPr>
              <w:t>Indeks (%)</w:t>
            </w:r>
          </w:p>
        </w:tc>
      </w:tr>
      <w:tr w:rsidR="00367E91" w14:paraId="6699960C" w14:textId="77777777">
        <w:tblPrEx>
          <w:tblCellMar>
            <w:top w:w="0" w:type="dxa"/>
            <w:bottom w:w="0" w:type="dxa"/>
          </w:tblCellMar>
        </w:tblPrEx>
        <w:trPr>
          <w:cantSplit/>
          <w:trHeight w:val="560"/>
        </w:trPr>
        <w:tc>
          <w:tcPr>
            <w:tcW w:w="700" w:type="dxa"/>
            <w:tcMar>
              <w:top w:w="0" w:type="dxa"/>
              <w:bottom w:w="0" w:type="dxa"/>
            </w:tcMar>
            <w:vAlign w:val="center"/>
          </w:tcPr>
          <w:p w14:paraId="6FCC3A2C" w14:textId="77777777" w:rsidR="00367E91" w:rsidRDefault="002B0324">
            <w:pPr>
              <w:keepNext/>
              <w:keepLines/>
              <w:spacing w:after="0" w:line="240" w:lineRule="auto"/>
            </w:pPr>
            <w:r>
              <w:rPr>
                <w:sz w:val="18"/>
              </w:rPr>
              <w:t>3299</w:t>
            </w:r>
          </w:p>
        </w:tc>
        <w:tc>
          <w:tcPr>
            <w:tcW w:w="3180" w:type="dxa"/>
            <w:tcMar>
              <w:top w:w="0" w:type="dxa"/>
              <w:bottom w:w="0" w:type="dxa"/>
            </w:tcMar>
            <w:vAlign w:val="center"/>
          </w:tcPr>
          <w:p w14:paraId="08E08C5E" w14:textId="77777777" w:rsidR="00367E91" w:rsidRDefault="002B0324">
            <w:pPr>
              <w:keepNext/>
              <w:keepLines/>
              <w:spacing w:after="0" w:line="240" w:lineRule="auto"/>
            </w:pPr>
            <w:r>
              <w:rPr>
                <w:sz w:val="18"/>
              </w:rPr>
              <w:t>Ostali nespomenuti rashodi poslovanja</w:t>
            </w:r>
          </w:p>
        </w:tc>
        <w:tc>
          <w:tcPr>
            <w:tcW w:w="700" w:type="dxa"/>
            <w:tcMar>
              <w:top w:w="0" w:type="dxa"/>
              <w:bottom w:w="0" w:type="dxa"/>
            </w:tcMar>
            <w:vAlign w:val="center"/>
          </w:tcPr>
          <w:p w14:paraId="2975B8A8" w14:textId="77777777" w:rsidR="00367E91" w:rsidRDefault="002B0324">
            <w:pPr>
              <w:keepNext/>
              <w:keepLines/>
              <w:spacing w:after="0" w:line="240" w:lineRule="auto"/>
            </w:pPr>
            <w:r>
              <w:rPr>
                <w:sz w:val="18"/>
              </w:rPr>
              <w:t>3299</w:t>
            </w:r>
          </w:p>
        </w:tc>
        <w:tc>
          <w:tcPr>
            <w:tcW w:w="1860" w:type="dxa"/>
            <w:tcMar>
              <w:top w:w="0" w:type="dxa"/>
              <w:bottom w:w="0" w:type="dxa"/>
            </w:tcMar>
            <w:vAlign w:val="center"/>
          </w:tcPr>
          <w:p w14:paraId="2439DBF3" w14:textId="77777777" w:rsidR="00367E91" w:rsidRDefault="002B0324">
            <w:pPr>
              <w:keepNext/>
              <w:keepLines/>
              <w:spacing w:after="0" w:line="240" w:lineRule="auto"/>
              <w:jc w:val="right"/>
            </w:pPr>
            <w:r>
              <w:rPr>
                <w:sz w:val="18"/>
              </w:rPr>
              <w:t>16.586,13</w:t>
            </w:r>
          </w:p>
        </w:tc>
        <w:tc>
          <w:tcPr>
            <w:tcW w:w="1860" w:type="dxa"/>
            <w:tcMar>
              <w:top w:w="0" w:type="dxa"/>
              <w:bottom w:w="0" w:type="dxa"/>
            </w:tcMar>
            <w:vAlign w:val="center"/>
          </w:tcPr>
          <w:p w14:paraId="5AB7C7BA" w14:textId="77777777" w:rsidR="00367E91" w:rsidRDefault="002B0324">
            <w:pPr>
              <w:keepNext/>
              <w:keepLines/>
              <w:spacing w:after="0" w:line="240" w:lineRule="auto"/>
              <w:jc w:val="right"/>
            </w:pPr>
            <w:r>
              <w:rPr>
                <w:sz w:val="18"/>
              </w:rPr>
              <w:t>18.600,53</w:t>
            </w:r>
          </w:p>
        </w:tc>
        <w:tc>
          <w:tcPr>
            <w:tcW w:w="700" w:type="dxa"/>
            <w:tcMar>
              <w:top w:w="0" w:type="dxa"/>
              <w:bottom w:w="0" w:type="dxa"/>
            </w:tcMar>
            <w:vAlign w:val="center"/>
          </w:tcPr>
          <w:p w14:paraId="57760B3A" w14:textId="77777777" w:rsidR="00367E91" w:rsidRDefault="002B0324">
            <w:pPr>
              <w:keepNext/>
              <w:keepLines/>
              <w:spacing w:after="0" w:line="240" w:lineRule="auto"/>
              <w:jc w:val="right"/>
            </w:pPr>
            <w:r>
              <w:rPr>
                <w:sz w:val="18"/>
              </w:rPr>
              <w:t>112,1</w:t>
            </w:r>
          </w:p>
        </w:tc>
      </w:tr>
    </w:tbl>
    <w:p w14:paraId="2D1E2C5E" w14:textId="77777777" w:rsidR="00367E91" w:rsidRDefault="00367E91">
      <w:pPr>
        <w:spacing w:after="0"/>
      </w:pPr>
    </w:p>
    <w:p w14:paraId="7998DC19" w14:textId="77777777" w:rsidR="00367E91" w:rsidRDefault="002B0324">
      <w:r>
        <w:t>u 2025. rashodi su povećani i odnose se na troškove vezane za obilježavanja 50. obljetnice PFO, iznosa dekanove nagrade za najbolje studente i obveze za Poslovni fond  Sveučiišta za razdoblje od mjeseca siječnja do mjeseca lipnja 2025. godine.</w:t>
      </w:r>
    </w:p>
    <w:p w14:paraId="7840B5FF" w14:textId="77777777" w:rsidR="00367E91" w:rsidRDefault="00367E91"/>
    <w:p w14:paraId="6592EED8" w14:textId="77777777" w:rsidR="00367E91" w:rsidRDefault="002B0324">
      <w:pPr>
        <w:keepNext/>
        <w:spacing w:line="240" w:lineRule="auto"/>
        <w:jc w:val="center"/>
      </w:pPr>
      <w:r>
        <w:rPr>
          <w:sz w:val="28"/>
        </w:rPr>
        <w:t>Bilješka 30</w:t>
      </w:r>
      <w:r>
        <w:rPr>
          <w:sz w:val="28"/>
        </w:rPr>
        <w:t>.</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367E91" w14:paraId="6E2688EE"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0E1D45F" w14:textId="77777777" w:rsidR="00367E91" w:rsidRDefault="002B0324">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029D1CAD" w14:textId="77777777" w:rsidR="00367E91" w:rsidRDefault="002B0324">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061DC5B" w14:textId="77777777" w:rsidR="00367E91" w:rsidRDefault="002B0324">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54F8227" w14:textId="77777777" w:rsidR="00367E91" w:rsidRDefault="002B0324">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640DCA5" w14:textId="77777777" w:rsidR="00367E91" w:rsidRDefault="002B0324">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15D94E9" w14:textId="77777777" w:rsidR="00367E91" w:rsidRDefault="002B0324">
            <w:pPr>
              <w:keepNext/>
              <w:keepLines/>
              <w:spacing w:after="0" w:line="240" w:lineRule="auto"/>
              <w:jc w:val="center"/>
            </w:pPr>
            <w:r>
              <w:rPr>
                <w:b/>
                <w:sz w:val="18"/>
              </w:rPr>
              <w:t>Indeks (%)</w:t>
            </w:r>
          </w:p>
        </w:tc>
      </w:tr>
      <w:tr w:rsidR="00367E91" w14:paraId="11DC1B03" w14:textId="77777777">
        <w:tblPrEx>
          <w:tblCellMar>
            <w:top w:w="0" w:type="dxa"/>
            <w:bottom w:w="0" w:type="dxa"/>
          </w:tblCellMar>
        </w:tblPrEx>
        <w:trPr>
          <w:cantSplit/>
          <w:trHeight w:val="560"/>
        </w:trPr>
        <w:tc>
          <w:tcPr>
            <w:tcW w:w="700" w:type="dxa"/>
            <w:tcMar>
              <w:top w:w="0" w:type="dxa"/>
              <w:bottom w:w="0" w:type="dxa"/>
            </w:tcMar>
            <w:vAlign w:val="center"/>
          </w:tcPr>
          <w:p w14:paraId="57600DF1" w14:textId="77777777" w:rsidR="00367E91" w:rsidRDefault="002B0324">
            <w:pPr>
              <w:keepNext/>
              <w:keepLines/>
              <w:spacing w:after="0" w:line="240" w:lineRule="auto"/>
            </w:pPr>
            <w:r>
              <w:rPr>
                <w:sz w:val="18"/>
              </w:rPr>
              <w:t>34</w:t>
            </w:r>
          </w:p>
        </w:tc>
        <w:tc>
          <w:tcPr>
            <w:tcW w:w="3180" w:type="dxa"/>
            <w:tcMar>
              <w:top w:w="0" w:type="dxa"/>
              <w:bottom w:w="0" w:type="dxa"/>
            </w:tcMar>
            <w:vAlign w:val="center"/>
          </w:tcPr>
          <w:p w14:paraId="1B03BD94" w14:textId="77777777" w:rsidR="00367E91" w:rsidRDefault="002B0324">
            <w:pPr>
              <w:keepNext/>
              <w:keepLines/>
              <w:spacing w:after="0" w:line="240" w:lineRule="auto"/>
            </w:pPr>
            <w:r>
              <w:rPr>
                <w:sz w:val="18"/>
              </w:rPr>
              <w:t>Financijski rashodi (šifre 341+342+343)</w:t>
            </w:r>
          </w:p>
        </w:tc>
        <w:tc>
          <w:tcPr>
            <w:tcW w:w="700" w:type="dxa"/>
            <w:tcMar>
              <w:top w:w="0" w:type="dxa"/>
              <w:bottom w:w="0" w:type="dxa"/>
            </w:tcMar>
            <w:vAlign w:val="center"/>
          </w:tcPr>
          <w:p w14:paraId="798CA73C" w14:textId="77777777" w:rsidR="00367E91" w:rsidRDefault="002B0324">
            <w:pPr>
              <w:keepNext/>
              <w:keepLines/>
              <w:spacing w:after="0" w:line="240" w:lineRule="auto"/>
            </w:pPr>
            <w:r>
              <w:rPr>
                <w:sz w:val="18"/>
              </w:rPr>
              <w:t>34</w:t>
            </w:r>
          </w:p>
        </w:tc>
        <w:tc>
          <w:tcPr>
            <w:tcW w:w="1860" w:type="dxa"/>
            <w:tcMar>
              <w:top w:w="0" w:type="dxa"/>
              <w:bottom w:w="0" w:type="dxa"/>
            </w:tcMar>
            <w:vAlign w:val="center"/>
          </w:tcPr>
          <w:p w14:paraId="23F8AC26" w14:textId="77777777" w:rsidR="00367E91" w:rsidRDefault="002B0324">
            <w:pPr>
              <w:keepNext/>
              <w:keepLines/>
              <w:spacing w:after="0" w:line="240" w:lineRule="auto"/>
              <w:jc w:val="right"/>
            </w:pPr>
            <w:r>
              <w:rPr>
                <w:sz w:val="18"/>
              </w:rPr>
              <w:t>11.406,00</w:t>
            </w:r>
          </w:p>
        </w:tc>
        <w:tc>
          <w:tcPr>
            <w:tcW w:w="1860" w:type="dxa"/>
            <w:tcMar>
              <w:top w:w="0" w:type="dxa"/>
              <w:bottom w:w="0" w:type="dxa"/>
            </w:tcMar>
            <w:vAlign w:val="center"/>
          </w:tcPr>
          <w:p w14:paraId="15F0F151" w14:textId="77777777" w:rsidR="00367E91" w:rsidRDefault="002B0324">
            <w:pPr>
              <w:keepNext/>
              <w:keepLines/>
              <w:spacing w:after="0" w:line="240" w:lineRule="auto"/>
              <w:jc w:val="right"/>
            </w:pPr>
            <w:r>
              <w:rPr>
                <w:sz w:val="18"/>
              </w:rPr>
              <w:t>9.890,83</w:t>
            </w:r>
          </w:p>
        </w:tc>
        <w:tc>
          <w:tcPr>
            <w:tcW w:w="700" w:type="dxa"/>
            <w:tcMar>
              <w:top w:w="0" w:type="dxa"/>
              <w:bottom w:w="0" w:type="dxa"/>
            </w:tcMar>
            <w:vAlign w:val="center"/>
          </w:tcPr>
          <w:p w14:paraId="57667D27" w14:textId="77777777" w:rsidR="00367E91" w:rsidRDefault="002B0324">
            <w:pPr>
              <w:keepNext/>
              <w:keepLines/>
              <w:spacing w:after="0" w:line="240" w:lineRule="auto"/>
              <w:jc w:val="right"/>
            </w:pPr>
            <w:r>
              <w:rPr>
                <w:sz w:val="18"/>
              </w:rPr>
              <w:t>86,7</w:t>
            </w:r>
          </w:p>
        </w:tc>
      </w:tr>
    </w:tbl>
    <w:p w14:paraId="4404ED66" w14:textId="77777777" w:rsidR="00367E91" w:rsidRDefault="00367E91">
      <w:pPr>
        <w:spacing w:after="0"/>
      </w:pPr>
    </w:p>
    <w:p w14:paraId="0C143B73" w14:textId="77777777" w:rsidR="00367E91" w:rsidRDefault="002B0324">
      <w:r>
        <w:t>bankarske usluge, usluge platnog prometa - u 2024. godini veći broj uplata u inozemstvo i veći broj studentskih uplata preko POS-a; zatezne kamate zbog korektivnih obrazaca naknadno priznatiih kvalifikacija doktorata za dva asistenta – za jednog xx mjeseci</w:t>
      </w:r>
      <w:r>
        <w:t>, za drugog xx mjeseci. Korektivni obrazac plaće se radi za one mjesece kada je trebalo biti isplaćeno, a Porezna obračunava zatezne kamate za razdoblje zaduženja do trenutka isplate</w:t>
      </w:r>
    </w:p>
    <w:p w14:paraId="7F3952A3" w14:textId="77777777" w:rsidR="00367E91" w:rsidRDefault="00367E91"/>
    <w:p w14:paraId="55242954" w14:textId="77777777" w:rsidR="00367E91" w:rsidRDefault="002B0324">
      <w:pPr>
        <w:keepNext/>
        <w:spacing w:line="240" w:lineRule="auto"/>
        <w:jc w:val="center"/>
      </w:pPr>
      <w:r>
        <w:rPr>
          <w:sz w:val="28"/>
        </w:rPr>
        <w:t>Bilješka 31.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367E91" w14:paraId="371480F2"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7526DEE" w14:textId="77777777" w:rsidR="00367E91" w:rsidRDefault="002B0324">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60502B4F" w14:textId="77777777" w:rsidR="00367E91" w:rsidRDefault="002B0324">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E9A6C75" w14:textId="77777777" w:rsidR="00367E91" w:rsidRDefault="002B0324">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53FC0E4" w14:textId="77777777" w:rsidR="00367E91" w:rsidRDefault="002B0324">
            <w:pPr>
              <w:keepNext/>
              <w:keepLines/>
              <w:spacing w:after="0" w:line="240" w:lineRule="auto"/>
              <w:jc w:val="center"/>
            </w:pPr>
            <w:r>
              <w:rPr>
                <w:b/>
                <w:sz w:val="18"/>
              </w:rPr>
              <w:t xml:space="preserve">Ostvareno u </w:t>
            </w:r>
            <w:r>
              <w:rPr>
                <w:b/>
                <w:sz w:val="18"/>
              </w:rPr>
              <w:t>izvještajnom razdoblju prethodne godine</w:t>
            </w:r>
          </w:p>
        </w:tc>
        <w:tc>
          <w:tcPr>
            <w:tcW w:w="1860" w:type="dxa"/>
            <w:shd w:val="clear" w:color="auto" w:fill="E7F0F9"/>
            <w:tcMar>
              <w:top w:w="0" w:type="dxa"/>
              <w:bottom w:w="0" w:type="dxa"/>
            </w:tcMar>
            <w:vAlign w:val="center"/>
          </w:tcPr>
          <w:p w14:paraId="79D78C05" w14:textId="77777777" w:rsidR="00367E91" w:rsidRDefault="002B0324">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D238790" w14:textId="77777777" w:rsidR="00367E91" w:rsidRDefault="002B0324">
            <w:pPr>
              <w:keepNext/>
              <w:keepLines/>
              <w:spacing w:after="0" w:line="240" w:lineRule="auto"/>
              <w:jc w:val="center"/>
            </w:pPr>
            <w:r>
              <w:rPr>
                <w:b/>
                <w:sz w:val="18"/>
              </w:rPr>
              <w:t>Indeks (%)</w:t>
            </w:r>
          </w:p>
        </w:tc>
      </w:tr>
      <w:tr w:rsidR="00367E91" w14:paraId="6F25D07F" w14:textId="77777777">
        <w:tblPrEx>
          <w:tblCellMar>
            <w:top w:w="0" w:type="dxa"/>
            <w:bottom w:w="0" w:type="dxa"/>
          </w:tblCellMar>
        </w:tblPrEx>
        <w:trPr>
          <w:cantSplit/>
          <w:trHeight w:val="560"/>
        </w:trPr>
        <w:tc>
          <w:tcPr>
            <w:tcW w:w="700" w:type="dxa"/>
            <w:tcMar>
              <w:top w:w="0" w:type="dxa"/>
              <w:bottom w:w="0" w:type="dxa"/>
            </w:tcMar>
            <w:vAlign w:val="center"/>
          </w:tcPr>
          <w:p w14:paraId="28A39164" w14:textId="77777777" w:rsidR="00367E91" w:rsidRDefault="002B0324">
            <w:pPr>
              <w:keepNext/>
              <w:keepLines/>
              <w:spacing w:after="0" w:line="240" w:lineRule="auto"/>
            </w:pPr>
            <w:r>
              <w:rPr>
                <w:sz w:val="18"/>
              </w:rPr>
              <w:t>3433</w:t>
            </w:r>
          </w:p>
        </w:tc>
        <w:tc>
          <w:tcPr>
            <w:tcW w:w="3180" w:type="dxa"/>
            <w:tcMar>
              <w:top w:w="0" w:type="dxa"/>
              <w:bottom w:w="0" w:type="dxa"/>
            </w:tcMar>
            <w:vAlign w:val="center"/>
          </w:tcPr>
          <w:p w14:paraId="260D7C20" w14:textId="77777777" w:rsidR="00367E91" w:rsidRDefault="002B0324">
            <w:pPr>
              <w:keepNext/>
              <w:keepLines/>
              <w:spacing w:after="0" w:line="240" w:lineRule="auto"/>
            </w:pPr>
            <w:r>
              <w:rPr>
                <w:sz w:val="18"/>
              </w:rPr>
              <w:t>Zatezne kamate</w:t>
            </w:r>
          </w:p>
        </w:tc>
        <w:tc>
          <w:tcPr>
            <w:tcW w:w="700" w:type="dxa"/>
            <w:tcMar>
              <w:top w:w="0" w:type="dxa"/>
              <w:bottom w:w="0" w:type="dxa"/>
            </w:tcMar>
            <w:vAlign w:val="center"/>
          </w:tcPr>
          <w:p w14:paraId="6E5FA672" w14:textId="77777777" w:rsidR="00367E91" w:rsidRDefault="002B0324">
            <w:pPr>
              <w:keepNext/>
              <w:keepLines/>
              <w:spacing w:after="0" w:line="240" w:lineRule="auto"/>
            </w:pPr>
            <w:r>
              <w:rPr>
                <w:sz w:val="18"/>
              </w:rPr>
              <w:t>3433</w:t>
            </w:r>
          </w:p>
        </w:tc>
        <w:tc>
          <w:tcPr>
            <w:tcW w:w="1860" w:type="dxa"/>
            <w:tcMar>
              <w:top w:w="0" w:type="dxa"/>
              <w:bottom w:w="0" w:type="dxa"/>
            </w:tcMar>
            <w:vAlign w:val="center"/>
          </w:tcPr>
          <w:p w14:paraId="668166E9" w14:textId="77777777" w:rsidR="00367E91" w:rsidRDefault="002B0324">
            <w:pPr>
              <w:keepNext/>
              <w:keepLines/>
              <w:spacing w:after="0" w:line="240" w:lineRule="auto"/>
              <w:jc w:val="right"/>
            </w:pPr>
            <w:r>
              <w:rPr>
                <w:sz w:val="18"/>
              </w:rPr>
              <w:t>1,83</w:t>
            </w:r>
          </w:p>
        </w:tc>
        <w:tc>
          <w:tcPr>
            <w:tcW w:w="1860" w:type="dxa"/>
            <w:tcMar>
              <w:top w:w="0" w:type="dxa"/>
              <w:bottom w:w="0" w:type="dxa"/>
            </w:tcMar>
            <w:vAlign w:val="center"/>
          </w:tcPr>
          <w:p w14:paraId="0D55F075" w14:textId="77777777" w:rsidR="00367E91" w:rsidRDefault="002B0324">
            <w:pPr>
              <w:keepNext/>
              <w:keepLines/>
              <w:spacing w:after="0" w:line="240" w:lineRule="auto"/>
              <w:jc w:val="right"/>
            </w:pPr>
            <w:r>
              <w:rPr>
                <w:sz w:val="18"/>
              </w:rPr>
              <w:t>44,33</w:t>
            </w:r>
          </w:p>
        </w:tc>
        <w:tc>
          <w:tcPr>
            <w:tcW w:w="700" w:type="dxa"/>
            <w:tcMar>
              <w:top w:w="0" w:type="dxa"/>
              <w:bottom w:w="0" w:type="dxa"/>
            </w:tcMar>
            <w:vAlign w:val="center"/>
          </w:tcPr>
          <w:p w14:paraId="34F67CFD" w14:textId="77777777" w:rsidR="00367E91" w:rsidRDefault="002B0324">
            <w:pPr>
              <w:keepNext/>
              <w:keepLines/>
              <w:spacing w:after="0" w:line="240" w:lineRule="auto"/>
              <w:jc w:val="right"/>
            </w:pPr>
            <w:r>
              <w:rPr>
                <w:sz w:val="18"/>
              </w:rPr>
              <w:t>2422,4</w:t>
            </w:r>
          </w:p>
        </w:tc>
      </w:tr>
    </w:tbl>
    <w:p w14:paraId="18BC8922" w14:textId="77777777" w:rsidR="00367E91" w:rsidRDefault="00367E91">
      <w:pPr>
        <w:spacing w:after="0"/>
      </w:pPr>
    </w:p>
    <w:p w14:paraId="13E58D89" w14:textId="77777777" w:rsidR="00367E91" w:rsidRDefault="002B0324">
      <w:r>
        <w:t xml:space="preserve">zatezne kamate zbog korektivnih obrazaca naknadno priznatiih kvalifikacija doktorata za dva asistenta – za jednog 7 mjeseci, za drugog 10 mjeseci. Korektivni obrazac plaće se radi za one mjesece kada je trebalo biti isplaćeno, a Porezna obračunava zatezne </w:t>
      </w:r>
      <w:r>
        <w:t>kamate za razdoblje zaduženja do trenutka isplate</w:t>
      </w:r>
    </w:p>
    <w:p w14:paraId="68736C60" w14:textId="77777777" w:rsidR="00367E91" w:rsidRDefault="00367E91"/>
    <w:p w14:paraId="2F119424" w14:textId="77777777" w:rsidR="00367E91" w:rsidRDefault="002B0324">
      <w:pPr>
        <w:keepNext/>
        <w:spacing w:line="240" w:lineRule="auto"/>
        <w:jc w:val="center"/>
      </w:pPr>
      <w:r>
        <w:rPr>
          <w:sz w:val="28"/>
        </w:rPr>
        <w:t>Bilješka 32.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367E91" w14:paraId="1C2167AE"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06CE6D2" w14:textId="77777777" w:rsidR="00367E91" w:rsidRDefault="002B0324">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7CDFD389" w14:textId="77777777" w:rsidR="00367E91" w:rsidRDefault="002B0324">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1C33963" w14:textId="77777777" w:rsidR="00367E91" w:rsidRDefault="002B0324">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97D664E" w14:textId="77777777" w:rsidR="00367E91" w:rsidRDefault="002B0324">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ACA81EC" w14:textId="77777777" w:rsidR="00367E91" w:rsidRDefault="002B0324">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5E70E6E" w14:textId="77777777" w:rsidR="00367E91" w:rsidRDefault="002B0324">
            <w:pPr>
              <w:keepNext/>
              <w:keepLines/>
              <w:spacing w:after="0" w:line="240" w:lineRule="auto"/>
              <w:jc w:val="center"/>
            </w:pPr>
            <w:r>
              <w:rPr>
                <w:b/>
                <w:sz w:val="18"/>
              </w:rPr>
              <w:t>Indeks (%)</w:t>
            </w:r>
          </w:p>
        </w:tc>
      </w:tr>
      <w:tr w:rsidR="00367E91" w14:paraId="14142174" w14:textId="77777777">
        <w:tblPrEx>
          <w:tblCellMar>
            <w:top w:w="0" w:type="dxa"/>
            <w:bottom w:w="0" w:type="dxa"/>
          </w:tblCellMar>
        </w:tblPrEx>
        <w:trPr>
          <w:cantSplit/>
          <w:trHeight w:val="560"/>
        </w:trPr>
        <w:tc>
          <w:tcPr>
            <w:tcW w:w="700" w:type="dxa"/>
            <w:tcMar>
              <w:top w:w="0" w:type="dxa"/>
              <w:bottom w:w="0" w:type="dxa"/>
            </w:tcMar>
            <w:vAlign w:val="center"/>
          </w:tcPr>
          <w:p w14:paraId="48935042" w14:textId="77777777" w:rsidR="00367E91" w:rsidRDefault="002B0324">
            <w:pPr>
              <w:keepNext/>
              <w:keepLines/>
              <w:spacing w:after="0" w:line="240" w:lineRule="auto"/>
            </w:pPr>
            <w:r>
              <w:rPr>
                <w:sz w:val="18"/>
              </w:rPr>
              <w:t>36</w:t>
            </w:r>
          </w:p>
        </w:tc>
        <w:tc>
          <w:tcPr>
            <w:tcW w:w="3180" w:type="dxa"/>
            <w:tcMar>
              <w:top w:w="0" w:type="dxa"/>
              <w:bottom w:w="0" w:type="dxa"/>
            </w:tcMar>
            <w:vAlign w:val="center"/>
          </w:tcPr>
          <w:p w14:paraId="567AC9D8" w14:textId="77777777" w:rsidR="00367E91" w:rsidRDefault="002B0324">
            <w:pPr>
              <w:keepNext/>
              <w:keepLines/>
              <w:spacing w:after="0" w:line="240" w:lineRule="auto"/>
            </w:pPr>
            <w:r>
              <w:rPr>
                <w:sz w:val="18"/>
              </w:rPr>
              <w:t xml:space="preserve">Pomoći dane u inozemstvo i </w:t>
            </w:r>
            <w:r>
              <w:rPr>
                <w:sz w:val="18"/>
              </w:rPr>
              <w:t>unutar općeg proračuna (šifre 361+362+363+365+366+367+368+369)</w:t>
            </w:r>
          </w:p>
        </w:tc>
        <w:tc>
          <w:tcPr>
            <w:tcW w:w="700" w:type="dxa"/>
            <w:tcMar>
              <w:top w:w="0" w:type="dxa"/>
              <w:bottom w:w="0" w:type="dxa"/>
            </w:tcMar>
            <w:vAlign w:val="center"/>
          </w:tcPr>
          <w:p w14:paraId="3F9E4374" w14:textId="77777777" w:rsidR="00367E91" w:rsidRDefault="002B0324">
            <w:pPr>
              <w:keepNext/>
              <w:keepLines/>
              <w:spacing w:after="0" w:line="240" w:lineRule="auto"/>
            </w:pPr>
            <w:r>
              <w:rPr>
                <w:sz w:val="18"/>
              </w:rPr>
              <w:t>36</w:t>
            </w:r>
          </w:p>
        </w:tc>
        <w:tc>
          <w:tcPr>
            <w:tcW w:w="1860" w:type="dxa"/>
            <w:tcMar>
              <w:top w:w="0" w:type="dxa"/>
              <w:bottom w:w="0" w:type="dxa"/>
            </w:tcMar>
            <w:vAlign w:val="center"/>
          </w:tcPr>
          <w:p w14:paraId="358E86C4" w14:textId="77777777" w:rsidR="00367E91" w:rsidRDefault="002B0324">
            <w:pPr>
              <w:keepNext/>
              <w:keepLines/>
              <w:spacing w:after="0" w:line="240" w:lineRule="auto"/>
              <w:jc w:val="right"/>
            </w:pPr>
            <w:r>
              <w:rPr>
                <w:sz w:val="18"/>
              </w:rPr>
              <w:t>4.419,00</w:t>
            </w:r>
          </w:p>
        </w:tc>
        <w:tc>
          <w:tcPr>
            <w:tcW w:w="1860" w:type="dxa"/>
            <w:tcMar>
              <w:top w:w="0" w:type="dxa"/>
              <w:bottom w:w="0" w:type="dxa"/>
            </w:tcMar>
            <w:vAlign w:val="center"/>
          </w:tcPr>
          <w:p w14:paraId="37D4EDF0" w14:textId="77777777" w:rsidR="00367E91" w:rsidRDefault="002B0324">
            <w:pPr>
              <w:keepNext/>
              <w:keepLines/>
              <w:spacing w:after="0" w:line="240" w:lineRule="auto"/>
              <w:jc w:val="right"/>
            </w:pPr>
            <w:r>
              <w:rPr>
                <w:sz w:val="18"/>
              </w:rPr>
              <w:t>0,00</w:t>
            </w:r>
          </w:p>
        </w:tc>
        <w:tc>
          <w:tcPr>
            <w:tcW w:w="700" w:type="dxa"/>
            <w:tcMar>
              <w:top w:w="0" w:type="dxa"/>
              <w:bottom w:w="0" w:type="dxa"/>
            </w:tcMar>
            <w:vAlign w:val="center"/>
          </w:tcPr>
          <w:p w14:paraId="7EB8D6C4" w14:textId="77777777" w:rsidR="00367E91" w:rsidRDefault="002B0324">
            <w:pPr>
              <w:keepNext/>
              <w:keepLines/>
              <w:spacing w:after="0" w:line="240" w:lineRule="auto"/>
              <w:jc w:val="right"/>
            </w:pPr>
            <w:r>
              <w:rPr>
                <w:sz w:val="18"/>
              </w:rPr>
              <w:t>0</w:t>
            </w:r>
          </w:p>
        </w:tc>
      </w:tr>
    </w:tbl>
    <w:p w14:paraId="6354298B" w14:textId="77777777" w:rsidR="00367E91" w:rsidRDefault="00367E91">
      <w:pPr>
        <w:spacing w:after="0"/>
      </w:pPr>
    </w:p>
    <w:p w14:paraId="2ECAA17F" w14:textId="77777777" w:rsidR="00367E91" w:rsidRDefault="002B0324">
      <w:r>
        <w:t>u 2024. doznaka projektnom partneru na projektu DIGINLAW</w:t>
      </w:r>
    </w:p>
    <w:p w14:paraId="2EA26379" w14:textId="77777777" w:rsidR="00367E91" w:rsidRDefault="00367E91"/>
    <w:p w14:paraId="26CEE6BC" w14:textId="77777777" w:rsidR="00367E91" w:rsidRDefault="002B0324">
      <w:pPr>
        <w:keepNext/>
        <w:spacing w:line="240" w:lineRule="auto"/>
        <w:jc w:val="center"/>
      </w:pPr>
      <w:r>
        <w:rPr>
          <w:sz w:val="28"/>
        </w:rPr>
        <w:lastRenderedPageBreak/>
        <w:t>Bilješka 33.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367E91" w14:paraId="42FB4B85"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A76829A" w14:textId="77777777" w:rsidR="00367E91" w:rsidRDefault="002B0324">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5F7D32A6" w14:textId="77777777" w:rsidR="00367E91" w:rsidRDefault="002B0324">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10CE8F0" w14:textId="77777777" w:rsidR="00367E91" w:rsidRDefault="002B0324">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75128D6" w14:textId="77777777" w:rsidR="00367E91" w:rsidRDefault="002B0324">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F9877EE" w14:textId="77777777" w:rsidR="00367E91" w:rsidRDefault="002B0324">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73DA54C" w14:textId="77777777" w:rsidR="00367E91" w:rsidRDefault="002B0324">
            <w:pPr>
              <w:keepNext/>
              <w:keepLines/>
              <w:spacing w:after="0" w:line="240" w:lineRule="auto"/>
              <w:jc w:val="center"/>
            </w:pPr>
            <w:r>
              <w:rPr>
                <w:b/>
                <w:sz w:val="18"/>
              </w:rPr>
              <w:t>Indeks (%)</w:t>
            </w:r>
          </w:p>
        </w:tc>
      </w:tr>
      <w:tr w:rsidR="00367E91" w14:paraId="44229001" w14:textId="77777777">
        <w:tblPrEx>
          <w:tblCellMar>
            <w:top w:w="0" w:type="dxa"/>
            <w:bottom w:w="0" w:type="dxa"/>
          </w:tblCellMar>
        </w:tblPrEx>
        <w:trPr>
          <w:cantSplit/>
          <w:trHeight w:val="560"/>
        </w:trPr>
        <w:tc>
          <w:tcPr>
            <w:tcW w:w="700" w:type="dxa"/>
            <w:tcMar>
              <w:top w:w="0" w:type="dxa"/>
              <w:bottom w:w="0" w:type="dxa"/>
            </w:tcMar>
            <w:vAlign w:val="center"/>
          </w:tcPr>
          <w:p w14:paraId="3D8D1145" w14:textId="77777777" w:rsidR="00367E91" w:rsidRDefault="002B0324">
            <w:pPr>
              <w:keepNext/>
              <w:keepLines/>
              <w:spacing w:after="0" w:line="240" w:lineRule="auto"/>
            </w:pPr>
            <w:r>
              <w:rPr>
                <w:sz w:val="18"/>
              </w:rPr>
              <w:t>3693</w:t>
            </w:r>
          </w:p>
        </w:tc>
        <w:tc>
          <w:tcPr>
            <w:tcW w:w="3180" w:type="dxa"/>
            <w:tcMar>
              <w:top w:w="0" w:type="dxa"/>
              <w:bottom w:w="0" w:type="dxa"/>
            </w:tcMar>
            <w:vAlign w:val="center"/>
          </w:tcPr>
          <w:p w14:paraId="67DC69BE" w14:textId="77777777" w:rsidR="00367E91" w:rsidRDefault="002B0324">
            <w:pPr>
              <w:keepNext/>
              <w:keepLines/>
              <w:spacing w:after="0" w:line="240" w:lineRule="auto"/>
            </w:pPr>
            <w:r>
              <w:rPr>
                <w:sz w:val="18"/>
              </w:rPr>
              <w:t>Tekući prijenosi između proračunskih korisnika istog proračuna temeljem prijenosa EU sredstava</w:t>
            </w:r>
          </w:p>
        </w:tc>
        <w:tc>
          <w:tcPr>
            <w:tcW w:w="700" w:type="dxa"/>
            <w:tcMar>
              <w:top w:w="0" w:type="dxa"/>
              <w:bottom w:w="0" w:type="dxa"/>
            </w:tcMar>
            <w:vAlign w:val="center"/>
          </w:tcPr>
          <w:p w14:paraId="0DD18A86" w14:textId="77777777" w:rsidR="00367E91" w:rsidRDefault="002B0324">
            <w:pPr>
              <w:keepNext/>
              <w:keepLines/>
              <w:spacing w:after="0" w:line="240" w:lineRule="auto"/>
            </w:pPr>
            <w:r>
              <w:rPr>
                <w:sz w:val="18"/>
              </w:rPr>
              <w:t>3693</w:t>
            </w:r>
          </w:p>
        </w:tc>
        <w:tc>
          <w:tcPr>
            <w:tcW w:w="1860" w:type="dxa"/>
            <w:tcMar>
              <w:top w:w="0" w:type="dxa"/>
              <w:bottom w:w="0" w:type="dxa"/>
            </w:tcMar>
            <w:vAlign w:val="center"/>
          </w:tcPr>
          <w:p w14:paraId="3ABBEAC1" w14:textId="77777777" w:rsidR="00367E91" w:rsidRDefault="002B0324">
            <w:pPr>
              <w:keepNext/>
              <w:keepLines/>
              <w:spacing w:after="0" w:line="240" w:lineRule="auto"/>
              <w:jc w:val="right"/>
            </w:pPr>
            <w:r>
              <w:rPr>
                <w:sz w:val="18"/>
              </w:rPr>
              <w:t>4.419,00</w:t>
            </w:r>
          </w:p>
        </w:tc>
        <w:tc>
          <w:tcPr>
            <w:tcW w:w="1860" w:type="dxa"/>
            <w:tcMar>
              <w:top w:w="0" w:type="dxa"/>
              <w:bottom w:w="0" w:type="dxa"/>
            </w:tcMar>
            <w:vAlign w:val="center"/>
          </w:tcPr>
          <w:p w14:paraId="5629D12B" w14:textId="77777777" w:rsidR="00367E91" w:rsidRDefault="002B0324">
            <w:pPr>
              <w:keepNext/>
              <w:keepLines/>
              <w:spacing w:after="0" w:line="240" w:lineRule="auto"/>
              <w:jc w:val="right"/>
            </w:pPr>
            <w:r>
              <w:rPr>
                <w:sz w:val="18"/>
              </w:rPr>
              <w:t>0,00</w:t>
            </w:r>
          </w:p>
        </w:tc>
        <w:tc>
          <w:tcPr>
            <w:tcW w:w="700" w:type="dxa"/>
            <w:tcMar>
              <w:top w:w="0" w:type="dxa"/>
              <w:bottom w:w="0" w:type="dxa"/>
            </w:tcMar>
            <w:vAlign w:val="center"/>
          </w:tcPr>
          <w:p w14:paraId="1D4A3D68" w14:textId="77777777" w:rsidR="00367E91" w:rsidRDefault="002B0324">
            <w:pPr>
              <w:keepNext/>
              <w:keepLines/>
              <w:spacing w:after="0" w:line="240" w:lineRule="auto"/>
              <w:jc w:val="right"/>
            </w:pPr>
            <w:r>
              <w:rPr>
                <w:sz w:val="18"/>
              </w:rPr>
              <w:t>0</w:t>
            </w:r>
          </w:p>
        </w:tc>
      </w:tr>
    </w:tbl>
    <w:p w14:paraId="7CFB4C4D" w14:textId="77777777" w:rsidR="00367E91" w:rsidRDefault="00367E91">
      <w:pPr>
        <w:spacing w:after="0"/>
      </w:pPr>
    </w:p>
    <w:p w14:paraId="4FAB3349" w14:textId="77777777" w:rsidR="00367E91" w:rsidRDefault="002B0324">
      <w:r>
        <w:t>u 2024. doznaka projektnom partneru na projektu DIGINLAW</w:t>
      </w:r>
    </w:p>
    <w:p w14:paraId="75DB6789" w14:textId="77777777" w:rsidR="00367E91" w:rsidRDefault="00367E91"/>
    <w:p w14:paraId="7D1FE1CF" w14:textId="77777777" w:rsidR="00367E91" w:rsidRDefault="002B0324">
      <w:pPr>
        <w:keepNext/>
        <w:spacing w:line="240" w:lineRule="auto"/>
        <w:jc w:val="center"/>
      </w:pPr>
      <w:r>
        <w:rPr>
          <w:sz w:val="28"/>
        </w:rPr>
        <w:t>Bilješka 34.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367E91" w14:paraId="709406A7"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B26C9E5" w14:textId="77777777" w:rsidR="00367E91" w:rsidRDefault="002B0324">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2A1C2E3C" w14:textId="77777777" w:rsidR="00367E91" w:rsidRDefault="002B0324">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62677AF" w14:textId="77777777" w:rsidR="00367E91" w:rsidRDefault="002B0324">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CCA3DC7" w14:textId="77777777" w:rsidR="00367E91" w:rsidRDefault="002B0324">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5B0E6E4" w14:textId="77777777" w:rsidR="00367E91" w:rsidRDefault="002B0324">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E968C5F" w14:textId="77777777" w:rsidR="00367E91" w:rsidRDefault="002B0324">
            <w:pPr>
              <w:keepNext/>
              <w:keepLines/>
              <w:spacing w:after="0" w:line="240" w:lineRule="auto"/>
              <w:jc w:val="center"/>
            </w:pPr>
            <w:r>
              <w:rPr>
                <w:b/>
                <w:sz w:val="18"/>
              </w:rPr>
              <w:t>Indeks (%)</w:t>
            </w:r>
          </w:p>
        </w:tc>
      </w:tr>
      <w:tr w:rsidR="00367E91" w14:paraId="6C353142" w14:textId="77777777">
        <w:tblPrEx>
          <w:tblCellMar>
            <w:top w:w="0" w:type="dxa"/>
            <w:bottom w:w="0" w:type="dxa"/>
          </w:tblCellMar>
        </w:tblPrEx>
        <w:trPr>
          <w:cantSplit/>
          <w:trHeight w:val="560"/>
        </w:trPr>
        <w:tc>
          <w:tcPr>
            <w:tcW w:w="700" w:type="dxa"/>
            <w:tcMar>
              <w:top w:w="0" w:type="dxa"/>
              <w:bottom w:w="0" w:type="dxa"/>
            </w:tcMar>
            <w:vAlign w:val="center"/>
          </w:tcPr>
          <w:p w14:paraId="79D03577" w14:textId="77777777" w:rsidR="00367E91" w:rsidRDefault="002B0324">
            <w:pPr>
              <w:keepNext/>
              <w:keepLines/>
              <w:spacing w:after="0" w:line="240" w:lineRule="auto"/>
            </w:pPr>
            <w:r>
              <w:rPr>
                <w:sz w:val="18"/>
              </w:rPr>
              <w:t>3721</w:t>
            </w:r>
          </w:p>
        </w:tc>
        <w:tc>
          <w:tcPr>
            <w:tcW w:w="3180" w:type="dxa"/>
            <w:tcMar>
              <w:top w:w="0" w:type="dxa"/>
              <w:bottom w:w="0" w:type="dxa"/>
            </w:tcMar>
            <w:vAlign w:val="center"/>
          </w:tcPr>
          <w:p w14:paraId="43A01FB9" w14:textId="77777777" w:rsidR="00367E91" w:rsidRDefault="002B0324">
            <w:pPr>
              <w:keepNext/>
              <w:keepLines/>
              <w:spacing w:after="0" w:line="240" w:lineRule="auto"/>
            </w:pPr>
            <w:r>
              <w:rPr>
                <w:sz w:val="18"/>
              </w:rPr>
              <w:t xml:space="preserve">Naknade građanima i </w:t>
            </w:r>
            <w:r>
              <w:rPr>
                <w:sz w:val="18"/>
              </w:rPr>
              <w:t>kućanstvima u novcu</w:t>
            </w:r>
          </w:p>
        </w:tc>
        <w:tc>
          <w:tcPr>
            <w:tcW w:w="700" w:type="dxa"/>
            <w:tcMar>
              <w:top w:w="0" w:type="dxa"/>
              <w:bottom w:w="0" w:type="dxa"/>
            </w:tcMar>
            <w:vAlign w:val="center"/>
          </w:tcPr>
          <w:p w14:paraId="70EDE208" w14:textId="77777777" w:rsidR="00367E91" w:rsidRDefault="002B0324">
            <w:pPr>
              <w:keepNext/>
              <w:keepLines/>
              <w:spacing w:after="0" w:line="240" w:lineRule="auto"/>
            </w:pPr>
            <w:r>
              <w:rPr>
                <w:sz w:val="18"/>
              </w:rPr>
              <w:t>3721</w:t>
            </w:r>
          </w:p>
        </w:tc>
        <w:tc>
          <w:tcPr>
            <w:tcW w:w="1860" w:type="dxa"/>
            <w:tcMar>
              <w:top w:w="0" w:type="dxa"/>
              <w:bottom w:w="0" w:type="dxa"/>
            </w:tcMar>
            <w:vAlign w:val="center"/>
          </w:tcPr>
          <w:p w14:paraId="71054756" w14:textId="77777777" w:rsidR="00367E91" w:rsidRDefault="002B0324">
            <w:pPr>
              <w:keepNext/>
              <w:keepLines/>
              <w:spacing w:after="0" w:line="240" w:lineRule="auto"/>
              <w:jc w:val="right"/>
            </w:pPr>
            <w:r>
              <w:rPr>
                <w:sz w:val="18"/>
              </w:rPr>
              <w:t>5.377,20</w:t>
            </w:r>
          </w:p>
        </w:tc>
        <w:tc>
          <w:tcPr>
            <w:tcW w:w="1860" w:type="dxa"/>
            <w:tcMar>
              <w:top w:w="0" w:type="dxa"/>
              <w:bottom w:w="0" w:type="dxa"/>
            </w:tcMar>
            <w:vAlign w:val="center"/>
          </w:tcPr>
          <w:p w14:paraId="728EA6F3" w14:textId="77777777" w:rsidR="00367E91" w:rsidRDefault="002B0324">
            <w:pPr>
              <w:keepNext/>
              <w:keepLines/>
              <w:spacing w:after="0" w:line="240" w:lineRule="auto"/>
              <w:jc w:val="right"/>
            </w:pPr>
            <w:r>
              <w:rPr>
                <w:sz w:val="18"/>
              </w:rPr>
              <w:t>12.844,63</w:t>
            </w:r>
          </w:p>
        </w:tc>
        <w:tc>
          <w:tcPr>
            <w:tcW w:w="700" w:type="dxa"/>
            <w:tcMar>
              <w:top w:w="0" w:type="dxa"/>
              <w:bottom w:w="0" w:type="dxa"/>
            </w:tcMar>
            <w:vAlign w:val="center"/>
          </w:tcPr>
          <w:p w14:paraId="65A7AA17" w14:textId="77777777" w:rsidR="00367E91" w:rsidRDefault="002B0324">
            <w:pPr>
              <w:keepNext/>
              <w:keepLines/>
              <w:spacing w:after="0" w:line="240" w:lineRule="auto"/>
              <w:jc w:val="right"/>
            </w:pPr>
            <w:r>
              <w:rPr>
                <w:sz w:val="18"/>
              </w:rPr>
              <w:t>238,9</w:t>
            </w:r>
          </w:p>
        </w:tc>
      </w:tr>
    </w:tbl>
    <w:p w14:paraId="4FAFA950" w14:textId="77777777" w:rsidR="00367E91" w:rsidRDefault="00367E91">
      <w:pPr>
        <w:spacing w:after="0"/>
      </w:pPr>
    </w:p>
    <w:p w14:paraId="20FF311D" w14:textId="77777777" w:rsidR="00367E91" w:rsidRDefault="002B0324">
      <w:r>
        <w:t>Povećani troškovi doktorskih studija asistenata koji studiraju izvan Pravnog fakulteta Osijek  zbog zapošljavanja novih asistenata u 2025. godini.</w:t>
      </w:r>
    </w:p>
    <w:p w14:paraId="790BF136" w14:textId="77777777" w:rsidR="00367E91" w:rsidRDefault="00367E91"/>
    <w:p w14:paraId="5A318FFD" w14:textId="77777777" w:rsidR="00367E91" w:rsidRDefault="002B0324">
      <w:pPr>
        <w:keepNext/>
        <w:spacing w:line="240" w:lineRule="auto"/>
        <w:jc w:val="center"/>
      </w:pPr>
      <w:r>
        <w:rPr>
          <w:sz w:val="28"/>
        </w:rPr>
        <w:t>Bilješka 35.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367E91" w14:paraId="717B4BF1"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A6DC1FD" w14:textId="77777777" w:rsidR="00367E91" w:rsidRDefault="002B0324">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1FB7E206" w14:textId="77777777" w:rsidR="00367E91" w:rsidRDefault="002B0324">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C66D539" w14:textId="77777777" w:rsidR="00367E91" w:rsidRDefault="002B0324">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00ECBC4" w14:textId="77777777" w:rsidR="00367E91" w:rsidRDefault="002B0324">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2ABF2F3" w14:textId="77777777" w:rsidR="00367E91" w:rsidRDefault="002B0324">
            <w:pPr>
              <w:keepNext/>
              <w:keepLines/>
              <w:spacing w:after="0" w:line="240" w:lineRule="auto"/>
              <w:jc w:val="center"/>
            </w:pPr>
            <w:r>
              <w:rPr>
                <w:b/>
                <w:sz w:val="18"/>
              </w:rPr>
              <w:t>Ostva</w:t>
            </w:r>
            <w:r>
              <w:rPr>
                <w:b/>
                <w:sz w:val="18"/>
              </w:rPr>
              <w:t>reno u izvještajnom razdoblju tekuće godine</w:t>
            </w:r>
          </w:p>
        </w:tc>
        <w:tc>
          <w:tcPr>
            <w:tcW w:w="700" w:type="dxa"/>
            <w:shd w:val="clear" w:color="auto" w:fill="E7F0F9"/>
            <w:tcMar>
              <w:top w:w="0" w:type="dxa"/>
              <w:bottom w:w="0" w:type="dxa"/>
            </w:tcMar>
            <w:vAlign w:val="center"/>
          </w:tcPr>
          <w:p w14:paraId="69941876" w14:textId="77777777" w:rsidR="00367E91" w:rsidRDefault="002B0324">
            <w:pPr>
              <w:keepNext/>
              <w:keepLines/>
              <w:spacing w:after="0" w:line="240" w:lineRule="auto"/>
              <w:jc w:val="center"/>
            </w:pPr>
            <w:r>
              <w:rPr>
                <w:b/>
                <w:sz w:val="18"/>
              </w:rPr>
              <w:t>Indeks (%)</w:t>
            </w:r>
          </w:p>
        </w:tc>
      </w:tr>
      <w:tr w:rsidR="00367E91" w14:paraId="04B3A9B9" w14:textId="77777777">
        <w:tblPrEx>
          <w:tblCellMar>
            <w:top w:w="0" w:type="dxa"/>
            <w:bottom w:w="0" w:type="dxa"/>
          </w:tblCellMar>
        </w:tblPrEx>
        <w:trPr>
          <w:cantSplit/>
          <w:trHeight w:val="560"/>
        </w:trPr>
        <w:tc>
          <w:tcPr>
            <w:tcW w:w="700" w:type="dxa"/>
            <w:tcMar>
              <w:top w:w="0" w:type="dxa"/>
              <w:bottom w:w="0" w:type="dxa"/>
            </w:tcMar>
            <w:vAlign w:val="center"/>
          </w:tcPr>
          <w:p w14:paraId="221D5E07" w14:textId="77777777" w:rsidR="00367E91" w:rsidRDefault="002B0324">
            <w:pPr>
              <w:keepNext/>
              <w:keepLines/>
              <w:spacing w:after="0" w:line="240" w:lineRule="auto"/>
            </w:pPr>
            <w:r>
              <w:rPr>
                <w:sz w:val="18"/>
              </w:rPr>
              <w:t>3812</w:t>
            </w:r>
          </w:p>
        </w:tc>
        <w:tc>
          <w:tcPr>
            <w:tcW w:w="3180" w:type="dxa"/>
            <w:tcMar>
              <w:top w:w="0" w:type="dxa"/>
              <w:bottom w:w="0" w:type="dxa"/>
            </w:tcMar>
            <w:vAlign w:val="center"/>
          </w:tcPr>
          <w:p w14:paraId="5BAD0796" w14:textId="77777777" w:rsidR="00367E91" w:rsidRDefault="002B0324">
            <w:pPr>
              <w:keepNext/>
              <w:keepLines/>
              <w:spacing w:after="0" w:line="240" w:lineRule="auto"/>
            </w:pPr>
            <w:r>
              <w:rPr>
                <w:sz w:val="18"/>
              </w:rPr>
              <w:t>Tekuće donacije u naravi</w:t>
            </w:r>
          </w:p>
        </w:tc>
        <w:tc>
          <w:tcPr>
            <w:tcW w:w="700" w:type="dxa"/>
            <w:tcMar>
              <w:top w:w="0" w:type="dxa"/>
              <w:bottom w:w="0" w:type="dxa"/>
            </w:tcMar>
            <w:vAlign w:val="center"/>
          </w:tcPr>
          <w:p w14:paraId="1808E58E" w14:textId="77777777" w:rsidR="00367E91" w:rsidRDefault="002B0324">
            <w:pPr>
              <w:keepNext/>
              <w:keepLines/>
              <w:spacing w:after="0" w:line="240" w:lineRule="auto"/>
            </w:pPr>
            <w:r>
              <w:rPr>
                <w:sz w:val="18"/>
              </w:rPr>
              <w:t>3812</w:t>
            </w:r>
          </w:p>
        </w:tc>
        <w:tc>
          <w:tcPr>
            <w:tcW w:w="1860" w:type="dxa"/>
            <w:tcMar>
              <w:top w:w="0" w:type="dxa"/>
              <w:bottom w:w="0" w:type="dxa"/>
            </w:tcMar>
            <w:vAlign w:val="center"/>
          </w:tcPr>
          <w:p w14:paraId="285B26D2" w14:textId="77777777" w:rsidR="00367E91" w:rsidRDefault="002B0324">
            <w:pPr>
              <w:keepNext/>
              <w:keepLines/>
              <w:spacing w:after="0" w:line="240" w:lineRule="auto"/>
              <w:jc w:val="right"/>
            </w:pPr>
            <w:r>
              <w:rPr>
                <w:sz w:val="18"/>
              </w:rPr>
              <w:t>83,60</w:t>
            </w:r>
          </w:p>
        </w:tc>
        <w:tc>
          <w:tcPr>
            <w:tcW w:w="1860" w:type="dxa"/>
            <w:tcMar>
              <w:top w:w="0" w:type="dxa"/>
              <w:bottom w:w="0" w:type="dxa"/>
            </w:tcMar>
            <w:vAlign w:val="center"/>
          </w:tcPr>
          <w:p w14:paraId="4BECFC89" w14:textId="77777777" w:rsidR="00367E91" w:rsidRDefault="002B0324">
            <w:pPr>
              <w:keepNext/>
              <w:keepLines/>
              <w:spacing w:after="0" w:line="240" w:lineRule="auto"/>
              <w:jc w:val="right"/>
            </w:pPr>
            <w:r>
              <w:rPr>
                <w:sz w:val="18"/>
              </w:rPr>
              <w:t>712,24</w:t>
            </w:r>
          </w:p>
        </w:tc>
        <w:tc>
          <w:tcPr>
            <w:tcW w:w="700" w:type="dxa"/>
            <w:tcMar>
              <w:top w:w="0" w:type="dxa"/>
              <w:bottom w:w="0" w:type="dxa"/>
            </w:tcMar>
            <w:vAlign w:val="center"/>
          </w:tcPr>
          <w:p w14:paraId="5DA10117" w14:textId="77777777" w:rsidR="00367E91" w:rsidRDefault="002B0324">
            <w:pPr>
              <w:keepNext/>
              <w:keepLines/>
              <w:spacing w:after="0" w:line="240" w:lineRule="auto"/>
              <w:jc w:val="right"/>
            </w:pPr>
            <w:r>
              <w:rPr>
                <w:sz w:val="18"/>
              </w:rPr>
              <w:t>852,0</w:t>
            </w:r>
          </w:p>
        </w:tc>
      </w:tr>
    </w:tbl>
    <w:p w14:paraId="7B82D3ED" w14:textId="77777777" w:rsidR="00367E91" w:rsidRDefault="00367E91">
      <w:pPr>
        <w:spacing w:after="0"/>
      </w:pPr>
    </w:p>
    <w:p w14:paraId="6509345D" w14:textId="77777777" w:rsidR="00367E91" w:rsidRDefault="002B0324">
      <w:r>
        <w:t>veći broj  izdanja Fakulteta iz Skriptarnice poklonjen drugim privrednim subjektima u odnosu na 2024. godinu</w:t>
      </w:r>
    </w:p>
    <w:p w14:paraId="2D2ACAFF" w14:textId="77777777" w:rsidR="00367E91" w:rsidRDefault="00367E91"/>
    <w:p w14:paraId="5DBA721A" w14:textId="77777777" w:rsidR="00367E91" w:rsidRDefault="002B0324">
      <w:pPr>
        <w:keepNext/>
        <w:spacing w:line="240" w:lineRule="auto"/>
        <w:jc w:val="center"/>
      </w:pPr>
      <w:r>
        <w:rPr>
          <w:sz w:val="28"/>
        </w:rPr>
        <w:t>Bilješka 36.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367E91" w14:paraId="6340D6CC"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4B824A3" w14:textId="77777777" w:rsidR="00367E91" w:rsidRDefault="002B0324">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37626F36" w14:textId="77777777" w:rsidR="00367E91" w:rsidRDefault="002B0324">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65136F8" w14:textId="77777777" w:rsidR="00367E91" w:rsidRDefault="002B0324">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4B6A575" w14:textId="77777777" w:rsidR="00367E91" w:rsidRDefault="002B0324">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DF6396A" w14:textId="77777777" w:rsidR="00367E91" w:rsidRDefault="002B0324">
            <w:pPr>
              <w:keepNext/>
              <w:keepLines/>
              <w:spacing w:after="0" w:line="240" w:lineRule="auto"/>
              <w:jc w:val="center"/>
            </w:pPr>
            <w:r>
              <w:rPr>
                <w:b/>
                <w:sz w:val="18"/>
              </w:rPr>
              <w:t>Ostvareno u izvještajnom razdoblju tekuće g</w:t>
            </w:r>
            <w:r>
              <w:rPr>
                <w:b/>
                <w:sz w:val="18"/>
              </w:rPr>
              <w:t>odine</w:t>
            </w:r>
          </w:p>
        </w:tc>
        <w:tc>
          <w:tcPr>
            <w:tcW w:w="700" w:type="dxa"/>
            <w:shd w:val="clear" w:color="auto" w:fill="E7F0F9"/>
            <w:tcMar>
              <w:top w:w="0" w:type="dxa"/>
              <w:bottom w:w="0" w:type="dxa"/>
            </w:tcMar>
            <w:vAlign w:val="center"/>
          </w:tcPr>
          <w:p w14:paraId="1A059564" w14:textId="77777777" w:rsidR="00367E91" w:rsidRDefault="002B0324">
            <w:pPr>
              <w:keepNext/>
              <w:keepLines/>
              <w:spacing w:after="0" w:line="240" w:lineRule="auto"/>
              <w:jc w:val="center"/>
            </w:pPr>
            <w:r>
              <w:rPr>
                <w:b/>
                <w:sz w:val="18"/>
              </w:rPr>
              <w:t>Indeks (%)</w:t>
            </w:r>
          </w:p>
        </w:tc>
      </w:tr>
      <w:tr w:rsidR="00367E91" w14:paraId="5896EA27" w14:textId="77777777">
        <w:tblPrEx>
          <w:tblCellMar>
            <w:top w:w="0" w:type="dxa"/>
            <w:bottom w:w="0" w:type="dxa"/>
          </w:tblCellMar>
        </w:tblPrEx>
        <w:trPr>
          <w:cantSplit/>
          <w:trHeight w:val="560"/>
        </w:trPr>
        <w:tc>
          <w:tcPr>
            <w:tcW w:w="700" w:type="dxa"/>
            <w:tcMar>
              <w:top w:w="0" w:type="dxa"/>
              <w:bottom w:w="0" w:type="dxa"/>
            </w:tcMar>
            <w:vAlign w:val="center"/>
          </w:tcPr>
          <w:p w14:paraId="497D3629" w14:textId="77777777" w:rsidR="00367E91" w:rsidRDefault="002B0324">
            <w:pPr>
              <w:keepNext/>
              <w:keepLines/>
              <w:spacing w:after="0" w:line="240" w:lineRule="auto"/>
            </w:pPr>
            <w:r>
              <w:rPr>
                <w:sz w:val="18"/>
              </w:rPr>
              <w:t>3813</w:t>
            </w:r>
          </w:p>
        </w:tc>
        <w:tc>
          <w:tcPr>
            <w:tcW w:w="3180" w:type="dxa"/>
            <w:tcMar>
              <w:top w:w="0" w:type="dxa"/>
              <w:bottom w:w="0" w:type="dxa"/>
            </w:tcMar>
            <w:vAlign w:val="center"/>
          </w:tcPr>
          <w:p w14:paraId="6393ABDE" w14:textId="77777777" w:rsidR="00367E91" w:rsidRDefault="002B0324">
            <w:pPr>
              <w:keepNext/>
              <w:keepLines/>
              <w:spacing w:after="0" w:line="240" w:lineRule="auto"/>
            </w:pPr>
            <w:r>
              <w:rPr>
                <w:sz w:val="18"/>
              </w:rPr>
              <w:t>Tekuće donacije iz EU sredstava</w:t>
            </w:r>
          </w:p>
        </w:tc>
        <w:tc>
          <w:tcPr>
            <w:tcW w:w="700" w:type="dxa"/>
            <w:tcMar>
              <w:top w:w="0" w:type="dxa"/>
              <w:bottom w:w="0" w:type="dxa"/>
            </w:tcMar>
            <w:vAlign w:val="center"/>
          </w:tcPr>
          <w:p w14:paraId="33354FD9" w14:textId="77777777" w:rsidR="00367E91" w:rsidRDefault="002B0324">
            <w:pPr>
              <w:keepNext/>
              <w:keepLines/>
              <w:spacing w:after="0" w:line="240" w:lineRule="auto"/>
            </w:pPr>
            <w:r>
              <w:rPr>
                <w:sz w:val="18"/>
              </w:rPr>
              <w:t>3813</w:t>
            </w:r>
          </w:p>
        </w:tc>
        <w:tc>
          <w:tcPr>
            <w:tcW w:w="1860" w:type="dxa"/>
            <w:tcMar>
              <w:top w:w="0" w:type="dxa"/>
              <w:bottom w:w="0" w:type="dxa"/>
            </w:tcMar>
            <w:vAlign w:val="center"/>
          </w:tcPr>
          <w:p w14:paraId="1F44F666" w14:textId="77777777" w:rsidR="00367E91" w:rsidRDefault="002B0324">
            <w:pPr>
              <w:keepNext/>
              <w:keepLines/>
              <w:spacing w:after="0" w:line="240" w:lineRule="auto"/>
              <w:jc w:val="right"/>
            </w:pPr>
            <w:r>
              <w:rPr>
                <w:sz w:val="18"/>
              </w:rPr>
              <w:t>22.536,00</w:t>
            </w:r>
          </w:p>
        </w:tc>
        <w:tc>
          <w:tcPr>
            <w:tcW w:w="1860" w:type="dxa"/>
            <w:tcMar>
              <w:top w:w="0" w:type="dxa"/>
              <w:bottom w:w="0" w:type="dxa"/>
            </w:tcMar>
            <w:vAlign w:val="center"/>
          </w:tcPr>
          <w:p w14:paraId="33AD743B" w14:textId="77777777" w:rsidR="00367E91" w:rsidRDefault="002B0324">
            <w:pPr>
              <w:keepNext/>
              <w:keepLines/>
              <w:spacing w:after="0" w:line="240" w:lineRule="auto"/>
              <w:jc w:val="right"/>
            </w:pPr>
            <w:r>
              <w:rPr>
                <w:sz w:val="18"/>
              </w:rPr>
              <w:t>0,00</w:t>
            </w:r>
          </w:p>
        </w:tc>
        <w:tc>
          <w:tcPr>
            <w:tcW w:w="700" w:type="dxa"/>
            <w:tcMar>
              <w:top w:w="0" w:type="dxa"/>
              <w:bottom w:w="0" w:type="dxa"/>
            </w:tcMar>
            <w:vAlign w:val="center"/>
          </w:tcPr>
          <w:p w14:paraId="2050D8B9" w14:textId="77777777" w:rsidR="00367E91" w:rsidRDefault="002B0324">
            <w:pPr>
              <w:keepNext/>
              <w:keepLines/>
              <w:spacing w:after="0" w:line="240" w:lineRule="auto"/>
              <w:jc w:val="right"/>
            </w:pPr>
            <w:r>
              <w:rPr>
                <w:sz w:val="18"/>
              </w:rPr>
              <w:t>0</w:t>
            </w:r>
          </w:p>
        </w:tc>
      </w:tr>
    </w:tbl>
    <w:p w14:paraId="30A1B5CE" w14:textId="77777777" w:rsidR="00367E91" w:rsidRDefault="00367E91">
      <w:pPr>
        <w:spacing w:after="0"/>
      </w:pPr>
    </w:p>
    <w:p w14:paraId="46C87F4B" w14:textId="77777777" w:rsidR="00367E91" w:rsidRDefault="002B0324">
      <w:r>
        <w:t>u 2024. godini na projektu “Time to Become Digital in Law – DIGinLaw“ doznaka sredstava projektnim partnerima – ustanovama izvan RH</w:t>
      </w:r>
    </w:p>
    <w:p w14:paraId="14C849D3" w14:textId="77777777" w:rsidR="00367E91" w:rsidRDefault="00367E91"/>
    <w:p w14:paraId="62C4D481" w14:textId="77777777" w:rsidR="00367E91" w:rsidRDefault="002B0324">
      <w:pPr>
        <w:keepNext/>
        <w:spacing w:line="240" w:lineRule="auto"/>
        <w:jc w:val="center"/>
      </w:pPr>
      <w:r>
        <w:rPr>
          <w:sz w:val="28"/>
        </w:rPr>
        <w:lastRenderedPageBreak/>
        <w:t>Bilješka 37.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367E91" w14:paraId="48D45DCE"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4194330" w14:textId="77777777" w:rsidR="00367E91" w:rsidRDefault="002B0324">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4833589C" w14:textId="77777777" w:rsidR="00367E91" w:rsidRDefault="002B0324">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4DB4025" w14:textId="77777777" w:rsidR="00367E91" w:rsidRDefault="002B0324">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A38C5BA" w14:textId="77777777" w:rsidR="00367E91" w:rsidRDefault="002B0324">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F0634D5" w14:textId="77777777" w:rsidR="00367E91" w:rsidRDefault="002B0324">
            <w:pPr>
              <w:keepNext/>
              <w:keepLines/>
              <w:spacing w:after="0" w:line="240" w:lineRule="auto"/>
              <w:jc w:val="center"/>
            </w:pPr>
            <w:r>
              <w:rPr>
                <w:b/>
                <w:sz w:val="18"/>
              </w:rPr>
              <w:t>Ostvareno u izvješta</w:t>
            </w:r>
            <w:r>
              <w:rPr>
                <w:b/>
                <w:sz w:val="18"/>
              </w:rPr>
              <w:t>jnom razdoblju tekuće godine</w:t>
            </w:r>
          </w:p>
        </w:tc>
        <w:tc>
          <w:tcPr>
            <w:tcW w:w="700" w:type="dxa"/>
            <w:shd w:val="clear" w:color="auto" w:fill="E7F0F9"/>
            <w:tcMar>
              <w:top w:w="0" w:type="dxa"/>
              <w:bottom w:w="0" w:type="dxa"/>
            </w:tcMar>
            <w:vAlign w:val="center"/>
          </w:tcPr>
          <w:p w14:paraId="7C25950F" w14:textId="77777777" w:rsidR="00367E91" w:rsidRDefault="002B0324">
            <w:pPr>
              <w:keepNext/>
              <w:keepLines/>
              <w:spacing w:after="0" w:line="240" w:lineRule="auto"/>
              <w:jc w:val="center"/>
            </w:pPr>
            <w:r>
              <w:rPr>
                <w:b/>
                <w:sz w:val="18"/>
              </w:rPr>
              <w:t>Indeks (%)</w:t>
            </w:r>
          </w:p>
        </w:tc>
      </w:tr>
      <w:tr w:rsidR="00367E91" w14:paraId="4670B92E" w14:textId="77777777">
        <w:tblPrEx>
          <w:tblCellMar>
            <w:top w:w="0" w:type="dxa"/>
            <w:bottom w:w="0" w:type="dxa"/>
          </w:tblCellMar>
        </w:tblPrEx>
        <w:trPr>
          <w:cantSplit/>
          <w:trHeight w:val="560"/>
        </w:trPr>
        <w:tc>
          <w:tcPr>
            <w:tcW w:w="700" w:type="dxa"/>
            <w:tcMar>
              <w:top w:w="0" w:type="dxa"/>
              <w:bottom w:w="0" w:type="dxa"/>
            </w:tcMar>
            <w:vAlign w:val="center"/>
          </w:tcPr>
          <w:p w14:paraId="161F7D55" w14:textId="77777777" w:rsidR="00367E91" w:rsidRDefault="002B0324">
            <w:pPr>
              <w:keepNext/>
              <w:keepLines/>
              <w:spacing w:after="0" w:line="240" w:lineRule="auto"/>
            </w:pPr>
            <w:r>
              <w:rPr>
                <w:sz w:val="18"/>
              </w:rPr>
              <w:t>92211</w:t>
            </w:r>
          </w:p>
        </w:tc>
        <w:tc>
          <w:tcPr>
            <w:tcW w:w="3180" w:type="dxa"/>
            <w:tcMar>
              <w:top w:w="0" w:type="dxa"/>
              <w:bottom w:w="0" w:type="dxa"/>
            </w:tcMar>
            <w:vAlign w:val="center"/>
          </w:tcPr>
          <w:p w14:paraId="5117E305" w14:textId="77777777" w:rsidR="00367E91" w:rsidRDefault="002B0324">
            <w:pPr>
              <w:keepNext/>
              <w:keepLines/>
              <w:spacing w:after="0" w:line="240" w:lineRule="auto"/>
            </w:pPr>
            <w:r>
              <w:rPr>
                <w:sz w:val="18"/>
              </w:rPr>
              <w:t>Višak prihoda poslovanja - preneseni</w:t>
            </w:r>
          </w:p>
        </w:tc>
        <w:tc>
          <w:tcPr>
            <w:tcW w:w="700" w:type="dxa"/>
            <w:tcMar>
              <w:top w:w="0" w:type="dxa"/>
              <w:bottom w:w="0" w:type="dxa"/>
            </w:tcMar>
            <w:vAlign w:val="center"/>
          </w:tcPr>
          <w:p w14:paraId="1C6D190D" w14:textId="77777777" w:rsidR="00367E91" w:rsidRDefault="002B0324">
            <w:pPr>
              <w:keepNext/>
              <w:keepLines/>
              <w:spacing w:after="0" w:line="240" w:lineRule="auto"/>
            </w:pPr>
            <w:r>
              <w:rPr>
                <w:sz w:val="18"/>
              </w:rPr>
              <w:t>92211</w:t>
            </w:r>
          </w:p>
        </w:tc>
        <w:tc>
          <w:tcPr>
            <w:tcW w:w="1860" w:type="dxa"/>
            <w:tcMar>
              <w:top w:w="0" w:type="dxa"/>
              <w:bottom w:w="0" w:type="dxa"/>
            </w:tcMar>
            <w:vAlign w:val="center"/>
          </w:tcPr>
          <w:p w14:paraId="2066C039" w14:textId="77777777" w:rsidR="00367E91" w:rsidRDefault="002B0324">
            <w:pPr>
              <w:keepNext/>
              <w:keepLines/>
              <w:spacing w:after="0" w:line="240" w:lineRule="auto"/>
              <w:jc w:val="right"/>
            </w:pPr>
            <w:r>
              <w:rPr>
                <w:sz w:val="18"/>
              </w:rPr>
              <w:t>950.638,85</w:t>
            </w:r>
          </w:p>
        </w:tc>
        <w:tc>
          <w:tcPr>
            <w:tcW w:w="1860" w:type="dxa"/>
            <w:tcMar>
              <w:top w:w="0" w:type="dxa"/>
              <w:bottom w:w="0" w:type="dxa"/>
            </w:tcMar>
            <w:vAlign w:val="center"/>
          </w:tcPr>
          <w:p w14:paraId="20E8FC89" w14:textId="77777777" w:rsidR="00367E91" w:rsidRDefault="002B0324">
            <w:pPr>
              <w:keepNext/>
              <w:keepLines/>
              <w:spacing w:after="0" w:line="240" w:lineRule="auto"/>
              <w:jc w:val="right"/>
            </w:pPr>
            <w:r>
              <w:rPr>
                <w:sz w:val="18"/>
              </w:rPr>
              <w:t>528.524,09</w:t>
            </w:r>
          </w:p>
        </w:tc>
        <w:tc>
          <w:tcPr>
            <w:tcW w:w="700" w:type="dxa"/>
            <w:tcMar>
              <w:top w:w="0" w:type="dxa"/>
              <w:bottom w:w="0" w:type="dxa"/>
            </w:tcMar>
            <w:vAlign w:val="center"/>
          </w:tcPr>
          <w:p w14:paraId="252CE598" w14:textId="77777777" w:rsidR="00367E91" w:rsidRDefault="002B0324">
            <w:pPr>
              <w:keepNext/>
              <w:keepLines/>
              <w:spacing w:after="0" w:line="240" w:lineRule="auto"/>
              <w:jc w:val="right"/>
            </w:pPr>
            <w:r>
              <w:rPr>
                <w:sz w:val="18"/>
              </w:rPr>
              <w:t>55,6</w:t>
            </w:r>
          </w:p>
        </w:tc>
      </w:tr>
    </w:tbl>
    <w:p w14:paraId="6D7D060E" w14:textId="77777777" w:rsidR="00367E91" w:rsidRDefault="00367E91">
      <w:pPr>
        <w:spacing w:after="0"/>
      </w:pPr>
    </w:p>
    <w:p w14:paraId="705E39F3" w14:textId="77777777" w:rsidR="00367E91" w:rsidRDefault="002B0324">
      <w:r>
        <w:t>U 2025. godini  temeljem Odluke o raspodjeli rezultata pokriven je manjak od nefinancijske imovine ostvaren u 2024. godini u iznosu  15.458,74 eura. Izvršen je ispravak viška prihoda poslovanja za 2024. godinu- višak je povećan za iznos 212,28 eura, jer je</w:t>
      </w:r>
      <w:r>
        <w:t xml:space="preserve"> u 2024. godini dva puta evidentiran isti rashod, a smanjen za obveze prema studentima koji su više platili troškove školovanja a  za preplaćeni iznos nije umanjen ostvareni prihod u ranijim godinama (iznos 1.833,69 eura). Temeljem Upute o evidentiranju EU</w:t>
      </w:r>
      <w:r>
        <w:t xml:space="preserve"> projekata.  višak prihoda umanjen  je za primljenu neutrošenu akontaciju za projekte EU SHINE  (9.459.73 eura,) EUGEQUALIY  ( 10.448,75 eura) i UNIPAR (26.770,44 eura) koja je proknjižena na  konta 27511 Obveze za EU predujmove. Također je  ispravljeno za</w:t>
      </w:r>
      <w:r>
        <w:t xml:space="preserve"> prihode od prodaje stanova sa stanarskim pravom koji su bili pogrešno evidentirani na Višku prihoda poslovanja a trebali su biti na Višku prihoda od nefinancijske imovine. Konačni iznos prenesenog Viška prihoda poslovanja u 2025. godini nakon  ispravaka a</w:t>
      </w:r>
      <w:r>
        <w:t xml:space="preserve"> prije utvrđivanja rezultata iznosi 528.524,09 a Višak prihoda od nefinancijske imovine iznosi 7.362,00 eura.</w:t>
      </w:r>
    </w:p>
    <w:p w14:paraId="69E20AA6" w14:textId="77777777" w:rsidR="00367E91" w:rsidRDefault="00367E91"/>
    <w:p w14:paraId="1FBF6763" w14:textId="77777777" w:rsidR="00367E91" w:rsidRDefault="002B0324">
      <w:pPr>
        <w:keepNext/>
        <w:spacing w:line="240" w:lineRule="auto"/>
        <w:jc w:val="center"/>
      </w:pPr>
      <w:r>
        <w:rPr>
          <w:sz w:val="28"/>
        </w:rPr>
        <w:t>Bilješka 38.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367E91" w14:paraId="7CC179E7"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CEDF5B8" w14:textId="77777777" w:rsidR="00367E91" w:rsidRDefault="002B0324">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1FF84287" w14:textId="77777777" w:rsidR="00367E91" w:rsidRDefault="002B0324">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21CEEBE" w14:textId="77777777" w:rsidR="00367E91" w:rsidRDefault="002B0324">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AFF9D40" w14:textId="77777777" w:rsidR="00367E91" w:rsidRDefault="002B0324">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B40A33A" w14:textId="77777777" w:rsidR="00367E91" w:rsidRDefault="002B0324">
            <w:pPr>
              <w:keepNext/>
              <w:keepLines/>
              <w:spacing w:after="0" w:line="240" w:lineRule="auto"/>
              <w:jc w:val="center"/>
            </w:pPr>
            <w:r>
              <w:rPr>
                <w:b/>
                <w:sz w:val="18"/>
              </w:rPr>
              <w:t xml:space="preserve">Ostvareno u izvještajnom razdoblju tekuće </w:t>
            </w:r>
            <w:r>
              <w:rPr>
                <w:b/>
                <w:sz w:val="18"/>
              </w:rPr>
              <w:t>godine</w:t>
            </w:r>
          </w:p>
        </w:tc>
        <w:tc>
          <w:tcPr>
            <w:tcW w:w="700" w:type="dxa"/>
            <w:shd w:val="clear" w:color="auto" w:fill="E7F0F9"/>
            <w:tcMar>
              <w:top w:w="0" w:type="dxa"/>
              <w:bottom w:w="0" w:type="dxa"/>
            </w:tcMar>
            <w:vAlign w:val="center"/>
          </w:tcPr>
          <w:p w14:paraId="39C2AF07" w14:textId="77777777" w:rsidR="00367E91" w:rsidRDefault="002B0324">
            <w:pPr>
              <w:keepNext/>
              <w:keepLines/>
              <w:spacing w:after="0" w:line="240" w:lineRule="auto"/>
              <w:jc w:val="center"/>
            </w:pPr>
            <w:r>
              <w:rPr>
                <w:b/>
                <w:sz w:val="18"/>
              </w:rPr>
              <w:t>Indeks (%)</w:t>
            </w:r>
          </w:p>
        </w:tc>
      </w:tr>
      <w:tr w:rsidR="00367E91" w14:paraId="031E1D8F" w14:textId="77777777">
        <w:tblPrEx>
          <w:tblCellMar>
            <w:top w:w="0" w:type="dxa"/>
            <w:bottom w:w="0" w:type="dxa"/>
          </w:tblCellMar>
        </w:tblPrEx>
        <w:trPr>
          <w:cantSplit/>
          <w:trHeight w:val="560"/>
        </w:trPr>
        <w:tc>
          <w:tcPr>
            <w:tcW w:w="700" w:type="dxa"/>
            <w:tcMar>
              <w:top w:w="0" w:type="dxa"/>
              <w:bottom w:w="0" w:type="dxa"/>
            </w:tcMar>
            <w:vAlign w:val="center"/>
          </w:tcPr>
          <w:p w14:paraId="256E955F" w14:textId="77777777" w:rsidR="00367E91" w:rsidRDefault="002B0324">
            <w:pPr>
              <w:keepNext/>
              <w:keepLines/>
              <w:spacing w:after="0" w:line="240" w:lineRule="auto"/>
            </w:pPr>
            <w:r>
              <w:rPr>
                <w:sz w:val="18"/>
              </w:rPr>
              <w:t>96</w:t>
            </w:r>
          </w:p>
        </w:tc>
        <w:tc>
          <w:tcPr>
            <w:tcW w:w="3180" w:type="dxa"/>
            <w:tcMar>
              <w:top w:w="0" w:type="dxa"/>
              <w:bottom w:w="0" w:type="dxa"/>
            </w:tcMar>
            <w:vAlign w:val="center"/>
          </w:tcPr>
          <w:p w14:paraId="1E651A22" w14:textId="77777777" w:rsidR="00367E91" w:rsidRDefault="002B0324">
            <w:pPr>
              <w:keepNext/>
              <w:keepLines/>
              <w:spacing w:after="0" w:line="240" w:lineRule="auto"/>
            </w:pPr>
            <w:r>
              <w:rPr>
                <w:sz w:val="18"/>
              </w:rPr>
              <w:t>Obračunati prihodi poslovanja - nenaplaćeni</w:t>
            </w:r>
          </w:p>
        </w:tc>
        <w:tc>
          <w:tcPr>
            <w:tcW w:w="700" w:type="dxa"/>
            <w:tcMar>
              <w:top w:w="0" w:type="dxa"/>
              <w:bottom w:w="0" w:type="dxa"/>
            </w:tcMar>
            <w:vAlign w:val="center"/>
          </w:tcPr>
          <w:p w14:paraId="27A83BCE" w14:textId="77777777" w:rsidR="00367E91" w:rsidRDefault="002B0324">
            <w:pPr>
              <w:keepNext/>
              <w:keepLines/>
              <w:spacing w:after="0" w:line="240" w:lineRule="auto"/>
            </w:pPr>
            <w:r>
              <w:rPr>
                <w:sz w:val="18"/>
              </w:rPr>
              <w:t>96</w:t>
            </w:r>
          </w:p>
        </w:tc>
        <w:tc>
          <w:tcPr>
            <w:tcW w:w="1860" w:type="dxa"/>
            <w:tcMar>
              <w:top w:w="0" w:type="dxa"/>
              <w:bottom w:w="0" w:type="dxa"/>
            </w:tcMar>
            <w:vAlign w:val="center"/>
          </w:tcPr>
          <w:p w14:paraId="7C0B232D" w14:textId="77777777" w:rsidR="00367E91" w:rsidRDefault="002B0324">
            <w:pPr>
              <w:keepNext/>
              <w:keepLines/>
              <w:spacing w:after="0" w:line="240" w:lineRule="auto"/>
              <w:jc w:val="right"/>
            </w:pPr>
            <w:r>
              <w:rPr>
                <w:sz w:val="18"/>
              </w:rPr>
              <w:t>84.566,15</w:t>
            </w:r>
          </w:p>
        </w:tc>
        <w:tc>
          <w:tcPr>
            <w:tcW w:w="1860" w:type="dxa"/>
            <w:tcMar>
              <w:top w:w="0" w:type="dxa"/>
              <w:bottom w:w="0" w:type="dxa"/>
            </w:tcMar>
            <w:vAlign w:val="center"/>
          </w:tcPr>
          <w:p w14:paraId="52517147" w14:textId="77777777" w:rsidR="00367E91" w:rsidRDefault="002B0324">
            <w:pPr>
              <w:keepNext/>
              <w:keepLines/>
              <w:spacing w:after="0" w:line="240" w:lineRule="auto"/>
              <w:jc w:val="right"/>
            </w:pPr>
            <w:r>
              <w:rPr>
                <w:sz w:val="18"/>
              </w:rPr>
              <w:t>264.209,33</w:t>
            </w:r>
          </w:p>
        </w:tc>
        <w:tc>
          <w:tcPr>
            <w:tcW w:w="700" w:type="dxa"/>
            <w:tcMar>
              <w:top w:w="0" w:type="dxa"/>
              <w:bottom w:w="0" w:type="dxa"/>
            </w:tcMar>
            <w:vAlign w:val="center"/>
          </w:tcPr>
          <w:p w14:paraId="19739B6B" w14:textId="77777777" w:rsidR="00367E91" w:rsidRDefault="002B0324">
            <w:pPr>
              <w:keepNext/>
              <w:keepLines/>
              <w:spacing w:after="0" w:line="240" w:lineRule="auto"/>
              <w:jc w:val="right"/>
            </w:pPr>
            <w:r>
              <w:rPr>
                <w:sz w:val="18"/>
              </w:rPr>
              <w:t>312,4</w:t>
            </w:r>
          </w:p>
        </w:tc>
      </w:tr>
    </w:tbl>
    <w:p w14:paraId="3560A794" w14:textId="77777777" w:rsidR="00367E91" w:rsidRDefault="00367E91">
      <w:pPr>
        <w:spacing w:after="0"/>
      </w:pPr>
    </w:p>
    <w:p w14:paraId="5809AE2F" w14:textId="77777777" w:rsidR="00367E91" w:rsidRDefault="002B0324">
      <w:r>
        <w:t>značajno povećanje jer je upisano potraživanje za prihode sukladno Odluci o sufinanciranju rashoda zakupa za razdoblje listopad 2025. do rujna 2029. godine u ukupnom iznosu 180.000,00 eura; ostalo je potraživanje od studenata za neplaćene ispostavljene izl</w:t>
      </w:r>
      <w:r>
        <w:t>azne račune  ;   temeljem Pravilnika o proračunskom računovodstvu i računskom planu izvršen je ispravak vrijednosti dospjelog potraživanja  kod kojih se kasni preko 2 godine od dospijeća po stopi od 100 %</w:t>
      </w:r>
    </w:p>
    <w:p w14:paraId="066C349E" w14:textId="77777777" w:rsidR="00367E91" w:rsidRDefault="00367E91"/>
    <w:p w14:paraId="002B4853" w14:textId="77777777" w:rsidR="00367E91" w:rsidRDefault="002B0324">
      <w:pPr>
        <w:keepNext/>
        <w:spacing w:line="240" w:lineRule="auto"/>
        <w:jc w:val="center"/>
      </w:pPr>
      <w:r>
        <w:rPr>
          <w:sz w:val="28"/>
        </w:rPr>
        <w:t>Bilješka 39.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367E91" w14:paraId="61626796"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782511A" w14:textId="77777777" w:rsidR="00367E91" w:rsidRDefault="002B0324">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7D6E07B8" w14:textId="77777777" w:rsidR="00367E91" w:rsidRDefault="002B0324">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12B0BAD" w14:textId="77777777" w:rsidR="00367E91" w:rsidRDefault="002B0324">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B6B8BD7" w14:textId="77777777" w:rsidR="00367E91" w:rsidRDefault="002B0324">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7E0A674" w14:textId="77777777" w:rsidR="00367E91" w:rsidRDefault="002B0324">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05E6C03" w14:textId="77777777" w:rsidR="00367E91" w:rsidRDefault="002B0324">
            <w:pPr>
              <w:keepNext/>
              <w:keepLines/>
              <w:spacing w:after="0" w:line="240" w:lineRule="auto"/>
              <w:jc w:val="center"/>
            </w:pPr>
            <w:r>
              <w:rPr>
                <w:b/>
                <w:sz w:val="18"/>
              </w:rPr>
              <w:t>Indeks (%)</w:t>
            </w:r>
          </w:p>
        </w:tc>
      </w:tr>
      <w:tr w:rsidR="00367E91" w14:paraId="5BC0804C" w14:textId="77777777">
        <w:tblPrEx>
          <w:tblCellMar>
            <w:top w:w="0" w:type="dxa"/>
            <w:bottom w:w="0" w:type="dxa"/>
          </w:tblCellMar>
        </w:tblPrEx>
        <w:trPr>
          <w:cantSplit/>
          <w:trHeight w:val="560"/>
        </w:trPr>
        <w:tc>
          <w:tcPr>
            <w:tcW w:w="700" w:type="dxa"/>
            <w:tcMar>
              <w:top w:w="0" w:type="dxa"/>
              <w:bottom w:w="0" w:type="dxa"/>
            </w:tcMar>
            <w:vAlign w:val="center"/>
          </w:tcPr>
          <w:p w14:paraId="172CBDB0" w14:textId="77777777" w:rsidR="00367E91" w:rsidRDefault="002B0324">
            <w:pPr>
              <w:keepNext/>
              <w:keepLines/>
              <w:spacing w:after="0" w:line="240" w:lineRule="auto"/>
            </w:pPr>
            <w:r>
              <w:rPr>
                <w:sz w:val="18"/>
              </w:rPr>
              <w:t>422</w:t>
            </w:r>
          </w:p>
        </w:tc>
        <w:tc>
          <w:tcPr>
            <w:tcW w:w="3180" w:type="dxa"/>
            <w:tcMar>
              <w:top w:w="0" w:type="dxa"/>
              <w:bottom w:w="0" w:type="dxa"/>
            </w:tcMar>
            <w:vAlign w:val="center"/>
          </w:tcPr>
          <w:p w14:paraId="2A75B466" w14:textId="77777777" w:rsidR="00367E91" w:rsidRDefault="002B0324">
            <w:pPr>
              <w:keepNext/>
              <w:keepLines/>
              <w:spacing w:after="0" w:line="240" w:lineRule="auto"/>
            </w:pPr>
            <w:r>
              <w:rPr>
                <w:sz w:val="18"/>
              </w:rPr>
              <w:t>Postrojenja i oprema (šifre 4221 do 4228)</w:t>
            </w:r>
          </w:p>
        </w:tc>
        <w:tc>
          <w:tcPr>
            <w:tcW w:w="700" w:type="dxa"/>
            <w:tcMar>
              <w:top w:w="0" w:type="dxa"/>
              <w:bottom w:w="0" w:type="dxa"/>
            </w:tcMar>
            <w:vAlign w:val="center"/>
          </w:tcPr>
          <w:p w14:paraId="00966E06" w14:textId="77777777" w:rsidR="00367E91" w:rsidRDefault="002B0324">
            <w:pPr>
              <w:keepNext/>
              <w:keepLines/>
              <w:spacing w:after="0" w:line="240" w:lineRule="auto"/>
            </w:pPr>
            <w:r>
              <w:rPr>
                <w:sz w:val="18"/>
              </w:rPr>
              <w:t>422</w:t>
            </w:r>
          </w:p>
        </w:tc>
        <w:tc>
          <w:tcPr>
            <w:tcW w:w="1860" w:type="dxa"/>
            <w:tcMar>
              <w:top w:w="0" w:type="dxa"/>
              <w:bottom w:w="0" w:type="dxa"/>
            </w:tcMar>
            <w:vAlign w:val="center"/>
          </w:tcPr>
          <w:p w14:paraId="26077BCD" w14:textId="77777777" w:rsidR="00367E91" w:rsidRDefault="002B0324">
            <w:pPr>
              <w:keepNext/>
              <w:keepLines/>
              <w:spacing w:after="0" w:line="240" w:lineRule="auto"/>
              <w:jc w:val="right"/>
            </w:pPr>
            <w:r>
              <w:rPr>
                <w:sz w:val="18"/>
              </w:rPr>
              <w:t>30.361,74</w:t>
            </w:r>
          </w:p>
        </w:tc>
        <w:tc>
          <w:tcPr>
            <w:tcW w:w="1860" w:type="dxa"/>
            <w:tcMar>
              <w:top w:w="0" w:type="dxa"/>
              <w:bottom w:w="0" w:type="dxa"/>
            </w:tcMar>
            <w:vAlign w:val="center"/>
          </w:tcPr>
          <w:p w14:paraId="082533FB" w14:textId="77777777" w:rsidR="00367E91" w:rsidRDefault="002B0324">
            <w:pPr>
              <w:keepNext/>
              <w:keepLines/>
              <w:spacing w:after="0" w:line="240" w:lineRule="auto"/>
              <w:jc w:val="right"/>
            </w:pPr>
            <w:r>
              <w:rPr>
                <w:sz w:val="18"/>
              </w:rPr>
              <w:t>33.762,61</w:t>
            </w:r>
          </w:p>
        </w:tc>
        <w:tc>
          <w:tcPr>
            <w:tcW w:w="700" w:type="dxa"/>
            <w:tcMar>
              <w:top w:w="0" w:type="dxa"/>
              <w:bottom w:w="0" w:type="dxa"/>
            </w:tcMar>
            <w:vAlign w:val="center"/>
          </w:tcPr>
          <w:p w14:paraId="1647CE42" w14:textId="77777777" w:rsidR="00367E91" w:rsidRDefault="002B0324">
            <w:pPr>
              <w:keepNext/>
              <w:keepLines/>
              <w:spacing w:after="0" w:line="240" w:lineRule="auto"/>
              <w:jc w:val="right"/>
            </w:pPr>
            <w:r>
              <w:rPr>
                <w:sz w:val="18"/>
              </w:rPr>
              <w:t>111,2</w:t>
            </w:r>
          </w:p>
        </w:tc>
      </w:tr>
    </w:tbl>
    <w:p w14:paraId="0306BC4B" w14:textId="77777777" w:rsidR="00367E91" w:rsidRDefault="00367E91">
      <w:pPr>
        <w:spacing w:after="0"/>
      </w:pPr>
    </w:p>
    <w:p w14:paraId="3472286B" w14:textId="77777777" w:rsidR="00367E91" w:rsidRDefault="002B0324">
      <w:r>
        <w:lastRenderedPageBreak/>
        <w:t xml:space="preserve">U 2025. godini račun za nabavku računalne i informatičke opremea je u odnosu na 2024. godinu veći za 14.880,80 eura. Kupljen je namještaj za novouređeni ured i  bluetooth zvučnik za potrebe Fakulteta, kupljeno manje naslova za Knjižnicu Fakulteta u odnosu </w:t>
      </w:r>
      <w:r>
        <w:t>na 2024. godinu. </w:t>
      </w:r>
    </w:p>
    <w:p w14:paraId="1A8559EE" w14:textId="77777777" w:rsidR="00367E91" w:rsidRDefault="00367E91"/>
    <w:p w14:paraId="08D7CDC4" w14:textId="77777777" w:rsidR="00367E91" w:rsidRDefault="002B0324">
      <w:pPr>
        <w:keepNext/>
        <w:spacing w:line="240" w:lineRule="auto"/>
        <w:jc w:val="center"/>
      </w:pPr>
      <w:r>
        <w:rPr>
          <w:sz w:val="28"/>
        </w:rPr>
        <w:t>Bilješka 40.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367E91" w14:paraId="0A5E5DF9"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9FD848F" w14:textId="77777777" w:rsidR="00367E91" w:rsidRDefault="002B0324">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6DD3502B" w14:textId="77777777" w:rsidR="00367E91" w:rsidRDefault="002B0324">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EB762E0" w14:textId="77777777" w:rsidR="00367E91" w:rsidRDefault="002B0324">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C5922E3" w14:textId="77777777" w:rsidR="00367E91" w:rsidRDefault="002B0324">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29C2D70" w14:textId="77777777" w:rsidR="00367E91" w:rsidRDefault="002B0324">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C880CC2" w14:textId="77777777" w:rsidR="00367E91" w:rsidRDefault="002B0324">
            <w:pPr>
              <w:keepNext/>
              <w:keepLines/>
              <w:spacing w:after="0" w:line="240" w:lineRule="auto"/>
              <w:jc w:val="center"/>
            </w:pPr>
            <w:r>
              <w:rPr>
                <w:b/>
                <w:sz w:val="18"/>
              </w:rPr>
              <w:t>Indeks (%)</w:t>
            </w:r>
          </w:p>
        </w:tc>
      </w:tr>
      <w:tr w:rsidR="00367E91" w14:paraId="2A2F51D4" w14:textId="77777777">
        <w:tblPrEx>
          <w:tblCellMar>
            <w:top w:w="0" w:type="dxa"/>
            <w:bottom w:w="0" w:type="dxa"/>
          </w:tblCellMar>
        </w:tblPrEx>
        <w:trPr>
          <w:cantSplit/>
          <w:trHeight w:val="560"/>
        </w:trPr>
        <w:tc>
          <w:tcPr>
            <w:tcW w:w="700" w:type="dxa"/>
            <w:tcMar>
              <w:top w:w="0" w:type="dxa"/>
              <w:bottom w:w="0" w:type="dxa"/>
            </w:tcMar>
            <w:vAlign w:val="center"/>
          </w:tcPr>
          <w:p w14:paraId="6147D7B9" w14:textId="77777777" w:rsidR="00367E91" w:rsidRDefault="002B0324">
            <w:pPr>
              <w:keepNext/>
              <w:keepLines/>
              <w:spacing w:after="0" w:line="240" w:lineRule="auto"/>
            </w:pPr>
            <w:r>
              <w:rPr>
                <w:sz w:val="18"/>
              </w:rPr>
              <w:t>92212</w:t>
            </w:r>
          </w:p>
        </w:tc>
        <w:tc>
          <w:tcPr>
            <w:tcW w:w="3180" w:type="dxa"/>
            <w:tcMar>
              <w:top w:w="0" w:type="dxa"/>
              <w:bottom w:w="0" w:type="dxa"/>
            </w:tcMar>
            <w:vAlign w:val="center"/>
          </w:tcPr>
          <w:p w14:paraId="1C2BABE0" w14:textId="77777777" w:rsidR="00367E91" w:rsidRDefault="002B0324">
            <w:pPr>
              <w:keepNext/>
              <w:keepLines/>
              <w:spacing w:after="0" w:line="240" w:lineRule="auto"/>
            </w:pPr>
            <w:r>
              <w:rPr>
                <w:sz w:val="18"/>
              </w:rPr>
              <w:t>Višak prihoda od nefinancijske imovine - preneseni</w:t>
            </w:r>
          </w:p>
        </w:tc>
        <w:tc>
          <w:tcPr>
            <w:tcW w:w="700" w:type="dxa"/>
            <w:tcMar>
              <w:top w:w="0" w:type="dxa"/>
              <w:bottom w:w="0" w:type="dxa"/>
            </w:tcMar>
            <w:vAlign w:val="center"/>
          </w:tcPr>
          <w:p w14:paraId="526D77C8" w14:textId="77777777" w:rsidR="00367E91" w:rsidRDefault="002B0324">
            <w:pPr>
              <w:keepNext/>
              <w:keepLines/>
              <w:spacing w:after="0" w:line="240" w:lineRule="auto"/>
            </w:pPr>
            <w:r>
              <w:rPr>
                <w:sz w:val="18"/>
              </w:rPr>
              <w:t>92212</w:t>
            </w:r>
          </w:p>
        </w:tc>
        <w:tc>
          <w:tcPr>
            <w:tcW w:w="1860" w:type="dxa"/>
            <w:tcMar>
              <w:top w:w="0" w:type="dxa"/>
              <w:bottom w:w="0" w:type="dxa"/>
            </w:tcMar>
            <w:vAlign w:val="center"/>
          </w:tcPr>
          <w:p w14:paraId="4C991177" w14:textId="77777777" w:rsidR="00367E91" w:rsidRDefault="002B0324">
            <w:pPr>
              <w:keepNext/>
              <w:keepLines/>
              <w:spacing w:after="0" w:line="240" w:lineRule="auto"/>
              <w:jc w:val="right"/>
            </w:pPr>
            <w:r>
              <w:rPr>
                <w:sz w:val="18"/>
              </w:rPr>
              <w:t>0,00</w:t>
            </w:r>
          </w:p>
        </w:tc>
        <w:tc>
          <w:tcPr>
            <w:tcW w:w="1860" w:type="dxa"/>
            <w:tcMar>
              <w:top w:w="0" w:type="dxa"/>
              <w:bottom w:w="0" w:type="dxa"/>
            </w:tcMar>
            <w:vAlign w:val="center"/>
          </w:tcPr>
          <w:p w14:paraId="273FEBF5" w14:textId="77777777" w:rsidR="00367E91" w:rsidRDefault="002B0324">
            <w:pPr>
              <w:keepNext/>
              <w:keepLines/>
              <w:spacing w:after="0" w:line="240" w:lineRule="auto"/>
              <w:jc w:val="right"/>
            </w:pPr>
            <w:r>
              <w:rPr>
                <w:sz w:val="18"/>
              </w:rPr>
              <w:t>7.362,00</w:t>
            </w:r>
          </w:p>
        </w:tc>
        <w:tc>
          <w:tcPr>
            <w:tcW w:w="700" w:type="dxa"/>
            <w:tcMar>
              <w:top w:w="0" w:type="dxa"/>
              <w:bottom w:w="0" w:type="dxa"/>
            </w:tcMar>
            <w:vAlign w:val="center"/>
          </w:tcPr>
          <w:p w14:paraId="5A4BD4CB" w14:textId="77777777" w:rsidR="00367E91" w:rsidRDefault="002B0324">
            <w:pPr>
              <w:keepNext/>
              <w:keepLines/>
              <w:spacing w:after="0" w:line="240" w:lineRule="auto"/>
              <w:jc w:val="right"/>
            </w:pPr>
            <w:r>
              <w:rPr>
                <w:sz w:val="18"/>
              </w:rPr>
              <w:t>-</w:t>
            </w:r>
          </w:p>
        </w:tc>
      </w:tr>
    </w:tbl>
    <w:p w14:paraId="746302EF" w14:textId="77777777" w:rsidR="00367E91" w:rsidRDefault="00367E91">
      <w:pPr>
        <w:spacing w:after="0"/>
      </w:pPr>
    </w:p>
    <w:p w14:paraId="157491A0" w14:textId="77777777" w:rsidR="00367E91" w:rsidRDefault="002B0324">
      <w:r>
        <w:t>U 2025. godini  temeljem Odluke o raspodjeli rezultata pokriven je manjak od nefinancijske imovine ostvaren u 2024. godini u iznosu  15.458,74 eura. Izvršen je ispravak viška prihoda poslovanja za 2024. godinu- višak je povećan za iznos 212,28 eura, jer je</w:t>
      </w:r>
      <w:r>
        <w:t xml:space="preserve"> u 2024. godini dva puta evidentiran isti rashod, a smanjen za obveze prema studentima koji su više platili troškove školovanja a  za preplaćeni iznos nije umanjen ostvareni prihod u ranijim godinama (iznos 1.833,69 eura). Temeljem Upute o evidentiranju EU</w:t>
      </w:r>
      <w:r>
        <w:t xml:space="preserve"> projekata.  višak prihoda umanjen  je za primljenu neutrošenu akontaciju za projekte EU SHINE  (9.459.73 eura,) EUGEQUALIY  ( 10.448,75 eura) i UNIPAR (26.770,44 eura) koja je proknjižena na  konta 27511 Obveze za EU predujmove. Također je  ispravljeno za</w:t>
      </w:r>
      <w:r>
        <w:t xml:space="preserve"> prihode od prodaje stanova sa stanarskim pravom koji su bili pogrešno evidentirani na Višku prihoda poslovanja a trebali su biti na Višku prihoda od nefinancijske imovine. Konačni iznos prenesenog Viška prihoda poslovanja u 2025. godini nakon  ispravaka a</w:t>
      </w:r>
      <w:r>
        <w:t xml:space="preserve"> prije utvrđivanja rezultata iznosi 528.524,09 a Višak prihoda od nefinancijske imovine iznosi 7.362,00 eura.</w:t>
      </w:r>
    </w:p>
    <w:p w14:paraId="340351E9" w14:textId="77777777" w:rsidR="00367E91" w:rsidRDefault="00367E91"/>
    <w:p w14:paraId="7E6A269E" w14:textId="77777777" w:rsidR="00367E91" w:rsidRDefault="002B0324">
      <w:pPr>
        <w:keepNext/>
        <w:spacing w:line="240" w:lineRule="auto"/>
        <w:jc w:val="center"/>
      </w:pPr>
      <w:r>
        <w:rPr>
          <w:sz w:val="28"/>
        </w:rPr>
        <w:t>Bilješka 41.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367E91" w14:paraId="4AB73B87"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9586679" w14:textId="77777777" w:rsidR="00367E91" w:rsidRDefault="002B0324">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5F5FF929" w14:textId="77777777" w:rsidR="00367E91" w:rsidRDefault="002B0324">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FE6857D" w14:textId="77777777" w:rsidR="00367E91" w:rsidRDefault="002B0324">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99C0651" w14:textId="77777777" w:rsidR="00367E91" w:rsidRDefault="002B0324">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1AB3FA6" w14:textId="77777777" w:rsidR="00367E91" w:rsidRDefault="002B0324">
            <w:pPr>
              <w:keepNext/>
              <w:keepLines/>
              <w:spacing w:after="0" w:line="240" w:lineRule="auto"/>
              <w:jc w:val="center"/>
            </w:pPr>
            <w:r>
              <w:rPr>
                <w:b/>
                <w:sz w:val="18"/>
              </w:rPr>
              <w:t xml:space="preserve">Ostvareno u izvještajnom </w:t>
            </w:r>
            <w:r>
              <w:rPr>
                <w:b/>
                <w:sz w:val="18"/>
              </w:rPr>
              <w:t>razdoblju tekuće godine</w:t>
            </w:r>
          </w:p>
        </w:tc>
        <w:tc>
          <w:tcPr>
            <w:tcW w:w="700" w:type="dxa"/>
            <w:shd w:val="clear" w:color="auto" w:fill="E7F0F9"/>
            <w:tcMar>
              <w:top w:w="0" w:type="dxa"/>
              <w:bottom w:w="0" w:type="dxa"/>
            </w:tcMar>
            <w:vAlign w:val="center"/>
          </w:tcPr>
          <w:p w14:paraId="21B57E33" w14:textId="77777777" w:rsidR="00367E91" w:rsidRDefault="002B0324">
            <w:pPr>
              <w:keepNext/>
              <w:keepLines/>
              <w:spacing w:after="0" w:line="240" w:lineRule="auto"/>
              <w:jc w:val="center"/>
            </w:pPr>
            <w:r>
              <w:rPr>
                <w:b/>
                <w:sz w:val="18"/>
              </w:rPr>
              <w:t>Indeks (%)</w:t>
            </w:r>
          </w:p>
        </w:tc>
      </w:tr>
      <w:tr w:rsidR="00367E91" w14:paraId="30890821" w14:textId="77777777">
        <w:tblPrEx>
          <w:tblCellMar>
            <w:top w:w="0" w:type="dxa"/>
            <w:bottom w:w="0" w:type="dxa"/>
          </w:tblCellMar>
        </w:tblPrEx>
        <w:trPr>
          <w:cantSplit/>
          <w:trHeight w:val="560"/>
        </w:trPr>
        <w:tc>
          <w:tcPr>
            <w:tcW w:w="700" w:type="dxa"/>
            <w:tcMar>
              <w:top w:w="0" w:type="dxa"/>
              <w:bottom w:w="0" w:type="dxa"/>
            </w:tcMar>
            <w:vAlign w:val="center"/>
          </w:tcPr>
          <w:p w14:paraId="72738215" w14:textId="77777777" w:rsidR="00367E91" w:rsidRDefault="00367E91">
            <w:pPr>
              <w:keepNext/>
              <w:keepLines/>
              <w:spacing w:after="0" w:line="240" w:lineRule="auto"/>
            </w:pPr>
          </w:p>
        </w:tc>
        <w:tc>
          <w:tcPr>
            <w:tcW w:w="3180" w:type="dxa"/>
            <w:tcMar>
              <w:top w:w="0" w:type="dxa"/>
              <w:bottom w:w="0" w:type="dxa"/>
            </w:tcMar>
            <w:vAlign w:val="center"/>
          </w:tcPr>
          <w:p w14:paraId="545249E0" w14:textId="77777777" w:rsidR="00367E91" w:rsidRDefault="002B0324">
            <w:pPr>
              <w:keepNext/>
              <w:keepLines/>
              <w:spacing w:after="0" w:line="240" w:lineRule="auto"/>
            </w:pPr>
            <w:r>
              <w:rPr>
                <w:sz w:val="18"/>
              </w:rPr>
              <w:t>UKUPAN MANJAK PRIHODA (šifre Y034-X067)</w:t>
            </w:r>
          </w:p>
        </w:tc>
        <w:tc>
          <w:tcPr>
            <w:tcW w:w="700" w:type="dxa"/>
            <w:tcMar>
              <w:top w:w="0" w:type="dxa"/>
              <w:bottom w:w="0" w:type="dxa"/>
            </w:tcMar>
            <w:vAlign w:val="center"/>
          </w:tcPr>
          <w:p w14:paraId="73E90617" w14:textId="77777777" w:rsidR="00367E91" w:rsidRDefault="002B0324">
            <w:pPr>
              <w:keepNext/>
              <w:keepLines/>
              <w:spacing w:after="0" w:line="240" w:lineRule="auto"/>
            </w:pPr>
            <w:r>
              <w:rPr>
                <w:sz w:val="18"/>
              </w:rPr>
              <w:t>Y004</w:t>
            </w:r>
          </w:p>
        </w:tc>
        <w:tc>
          <w:tcPr>
            <w:tcW w:w="1860" w:type="dxa"/>
            <w:tcMar>
              <w:top w:w="0" w:type="dxa"/>
              <w:bottom w:w="0" w:type="dxa"/>
            </w:tcMar>
            <w:vAlign w:val="center"/>
          </w:tcPr>
          <w:p w14:paraId="4D9B99E3" w14:textId="77777777" w:rsidR="00367E91" w:rsidRDefault="002B0324">
            <w:pPr>
              <w:keepNext/>
              <w:keepLines/>
              <w:spacing w:after="0" w:line="240" w:lineRule="auto"/>
              <w:jc w:val="right"/>
            </w:pPr>
            <w:r>
              <w:rPr>
                <w:sz w:val="18"/>
              </w:rPr>
              <w:t>366.452,42</w:t>
            </w:r>
          </w:p>
        </w:tc>
        <w:tc>
          <w:tcPr>
            <w:tcW w:w="1860" w:type="dxa"/>
            <w:tcMar>
              <w:top w:w="0" w:type="dxa"/>
              <w:bottom w:w="0" w:type="dxa"/>
            </w:tcMar>
            <w:vAlign w:val="center"/>
          </w:tcPr>
          <w:p w14:paraId="656B8B47" w14:textId="77777777" w:rsidR="00367E91" w:rsidRDefault="002B0324">
            <w:pPr>
              <w:keepNext/>
              <w:keepLines/>
              <w:spacing w:after="0" w:line="240" w:lineRule="auto"/>
              <w:jc w:val="right"/>
            </w:pPr>
            <w:r>
              <w:rPr>
                <w:sz w:val="18"/>
              </w:rPr>
              <w:t>444.401,36</w:t>
            </w:r>
          </w:p>
        </w:tc>
        <w:tc>
          <w:tcPr>
            <w:tcW w:w="700" w:type="dxa"/>
            <w:tcMar>
              <w:top w:w="0" w:type="dxa"/>
              <w:bottom w:w="0" w:type="dxa"/>
            </w:tcMar>
            <w:vAlign w:val="center"/>
          </w:tcPr>
          <w:p w14:paraId="69CB1F9F" w14:textId="77777777" w:rsidR="00367E91" w:rsidRDefault="002B0324">
            <w:pPr>
              <w:keepNext/>
              <w:keepLines/>
              <w:spacing w:after="0" w:line="240" w:lineRule="auto"/>
              <w:jc w:val="right"/>
            </w:pPr>
            <w:r>
              <w:rPr>
                <w:sz w:val="18"/>
              </w:rPr>
              <w:t>121,3</w:t>
            </w:r>
          </w:p>
        </w:tc>
      </w:tr>
    </w:tbl>
    <w:p w14:paraId="1409AD03" w14:textId="77777777" w:rsidR="00367E91" w:rsidRDefault="00367E91">
      <w:pPr>
        <w:spacing w:after="0"/>
      </w:pPr>
    </w:p>
    <w:p w14:paraId="523F0975" w14:textId="77777777" w:rsidR="00367E91" w:rsidRDefault="002B0324">
      <w:r>
        <w:t>U 2025. godini ostvaren je manjak prihoda  iz izvora 11  u iznosu 428.393,12 eura. Metodološki manjak nastao je iz razloga što su promjenom metodologije evidentiranja u poslovnim knjigama evidenirani rashodi za zaposlene koji se odnose na prosinac 2025. go</w:t>
      </w:r>
      <w:r>
        <w:t>dine u iznosu  360.597,40 eura. Preostali manjak  iz izvora 11 nastao je iz razloga što nisu doznačena doznačena sredstva iz MZOM za osnovnu  i izvedbenu komponentu (ukupno 71.788,64 eura) za razdoblje listopad-prosinac 2025., što je bilo ugovoreno novim U</w:t>
      </w:r>
      <w:r>
        <w:t>govorom o programskom financiranju za razdoblje listopad 2025. do rujan 2029. godine i planirano u Izmjenama i dopunama financijskog plana za 2025. godinu. </w:t>
      </w:r>
    </w:p>
    <w:p w14:paraId="575A9E47" w14:textId="77777777" w:rsidR="00367E91" w:rsidRDefault="00367E91"/>
    <w:p w14:paraId="4A76DC4A" w14:textId="77777777" w:rsidR="00367E91" w:rsidRDefault="002B0324">
      <w:pPr>
        <w:keepNext/>
        <w:spacing w:line="240" w:lineRule="auto"/>
        <w:jc w:val="center"/>
      </w:pPr>
      <w:r>
        <w:rPr>
          <w:sz w:val="28"/>
        </w:rPr>
        <w:lastRenderedPageBreak/>
        <w:t>Bilješka 42.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367E91" w14:paraId="2CEFA53B"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CEDDC32" w14:textId="77777777" w:rsidR="00367E91" w:rsidRDefault="002B0324">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5C2557C8" w14:textId="77777777" w:rsidR="00367E91" w:rsidRDefault="002B0324">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FA589E5" w14:textId="77777777" w:rsidR="00367E91" w:rsidRDefault="002B0324">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CA7E1CC" w14:textId="77777777" w:rsidR="00367E91" w:rsidRDefault="002B0324">
            <w:pPr>
              <w:keepNext/>
              <w:keepLines/>
              <w:spacing w:after="0" w:line="240" w:lineRule="auto"/>
              <w:jc w:val="center"/>
            </w:pPr>
            <w:r>
              <w:rPr>
                <w:b/>
                <w:sz w:val="18"/>
              </w:rPr>
              <w:t>Ostvareno u izvještajnom razdoblju prethodne go</w:t>
            </w:r>
            <w:r>
              <w:rPr>
                <w:b/>
                <w:sz w:val="18"/>
              </w:rPr>
              <w:t>dine</w:t>
            </w:r>
          </w:p>
        </w:tc>
        <w:tc>
          <w:tcPr>
            <w:tcW w:w="1860" w:type="dxa"/>
            <w:shd w:val="clear" w:color="auto" w:fill="E7F0F9"/>
            <w:tcMar>
              <w:top w:w="0" w:type="dxa"/>
              <w:bottom w:w="0" w:type="dxa"/>
            </w:tcMar>
            <w:vAlign w:val="center"/>
          </w:tcPr>
          <w:p w14:paraId="3F8E0D26" w14:textId="77777777" w:rsidR="00367E91" w:rsidRDefault="002B0324">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479B53EE" w14:textId="77777777" w:rsidR="00367E91" w:rsidRDefault="002B0324">
            <w:pPr>
              <w:keepNext/>
              <w:keepLines/>
              <w:spacing w:after="0" w:line="240" w:lineRule="auto"/>
              <w:jc w:val="center"/>
            </w:pPr>
            <w:r>
              <w:rPr>
                <w:b/>
                <w:sz w:val="18"/>
              </w:rPr>
              <w:t>Indeks (%)</w:t>
            </w:r>
          </w:p>
        </w:tc>
      </w:tr>
      <w:tr w:rsidR="00367E91" w14:paraId="3A34D661" w14:textId="77777777">
        <w:tblPrEx>
          <w:tblCellMar>
            <w:top w:w="0" w:type="dxa"/>
            <w:bottom w:w="0" w:type="dxa"/>
          </w:tblCellMar>
        </w:tblPrEx>
        <w:trPr>
          <w:cantSplit/>
          <w:trHeight w:val="560"/>
        </w:trPr>
        <w:tc>
          <w:tcPr>
            <w:tcW w:w="700" w:type="dxa"/>
            <w:tcMar>
              <w:top w:w="0" w:type="dxa"/>
              <w:bottom w:w="0" w:type="dxa"/>
            </w:tcMar>
            <w:vAlign w:val="center"/>
          </w:tcPr>
          <w:p w14:paraId="00A2A520" w14:textId="77777777" w:rsidR="00367E91" w:rsidRDefault="002B0324">
            <w:pPr>
              <w:keepNext/>
              <w:keepLines/>
              <w:spacing w:after="0" w:line="240" w:lineRule="auto"/>
            </w:pPr>
            <w:r>
              <w:rPr>
                <w:sz w:val="18"/>
              </w:rPr>
              <w:t>9221x, 9222x</w:t>
            </w:r>
          </w:p>
        </w:tc>
        <w:tc>
          <w:tcPr>
            <w:tcW w:w="3180" w:type="dxa"/>
            <w:tcMar>
              <w:top w:w="0" w:type="dxa"/>
              <w:bottom w:w="0" w:type="dxa"/>
            </w:tcMar>
            <w:vAlign w:val="center"/>
          </w:tcPr>
          <w:p w14:paraId="7AA5642F" w14:textId="77777777" w:rsidR="00367E91" w:rsidRDefault="002B0324">
            <w:pPr>
              <w:keepNext/>
              <w:keepLines/>
              <w:spacing w:after="0" w:line="240" w:lineRule="auto"/>
            </w:pPr>
            <w:r>
              <w:rPr>
                <w:sz w:val="18"/>
              </w:rPr>
              <w:t>Višak prihoda - preneseni (šifre 92211+92212-92221-92222)</w:t>
            </w:r>
          </w:p>
        </w:tc>
        <w:tc>
          <w:tcPr>
            <w:tcW w:w="700" w:type="dxa"/>
            <w:tcMar>
              <w:top w:w="0" w:type="dxa"/>
              <w:bottom w:w="0" w:type="dxa"/>
            </w:tcMar>
            <w:vAlign w:val="center"/>
          </w:tcPr>
          <w:p w14:paraId="36015BAF" w14:textId="77777777" w:rsidR="00367E91" w:rsidRDefault="002B0324">
            <w:pPr>
              <w:keepNext/>
              <w:keepLines/>
              <w:spacing w:after="0" w:line="240" w:lineRule="auto"/>
            </w:pPr>
            <w:r>
              <w:rPr>
                <w:sz w:val="18"/>
              </w:rPr>
              <w:t>9221x,9222x VP</w:t>
            </w:r>
          </w:p>
        </w:tc>
        <w:tc>
          <w:tcPr>
            <w:tcW w:w="1860" w:type="dxa"/>
            <w:tcMar>
              <w:top w:w="0" w:type="dxa"/>
              <w:bottom w:w="0" w:type="dxa"/>
            </w:tcMar>
            <w:vAlign w:val="center"/>
          </w:tcPr>
          <w:p w14:paraId="6D270A49" w14:textId="77777777" w:rsidR="00367E91" w:rsidRDefault="002B0324">
            <w:pPr>
              <w:keepNext/>
              <w:keepLines/>
              <w:spacing w:after="0" w:line="240" w:lineRule="auto"/>
              <w:jc w:val="right"/>
            </w:pPr>
            <w:r>
              <w:rPr>
                <w:sz w:val="18"/>
              </w:rPr>
              <w:t>950.638,85</w:t>
            </w:r>
          </w:p>
        </w:tc>
        <w:tc>
          <w:tcPr>
            <w:tcW w:w="1860" w:type="dxa"/>
            <w:tcMar>
              <w:top w:w="0" w:type="dxa"/>
              <w:bottom w:w="0" w:type="dxa"/>
            </w:tcMar>
            <w:vAlign w:val="center"/>
          </w:tcPr>
          <w:p w14:paraId="0DC277D3" w14:textId="77777777" w:rsidR="00367E91" w:rsidRDefault="002B0324">
            <w:pPr>
              <w:keepNext/>
              <w:keepLines/>
              <w:spacing w:after="0" w:line="240" w:lineRule="auto"/>
              <w:jc w:val="right"/>
            </w:pPr>
            <w:r>
              <w:rPr>
                <w:sz w:val="18"/>
              </w:rPr>
              <w:t>535.886,09</w:t>
            </w:r>
          </w:p>
        </w:tc>
        <w:tc>
          <w:tcPr>
            <w:tcW w:w="700" w:type="dxa"/>
            <w:tcMar>
              <w:top w:w="0" w:type="dxa"/>
              <w:bottom w:w="0" w:type="dxa"/>
            </w:tcMar>
            <w:vAlign w:val="center"/>
          </w:tcPr>
          <w:p w14:paraId="787BA34E" w14:textId="77777777" w:rsidR="00367E91" w:rsidRDefault="002B0324">
            <w:pPr>
              <w:keepNext/>
              <w:keepLines/>
              <w:spacing w:after="0" w:line="240" w:lineRule="auto"/>
              <w:jc w:val="right"/>
            </w:pPr>
            <w:r>
              <w:rPr>
                <w:sz w:val="18"/>
              </w:rPr>
              <w:t>56,4</w:t>
            </w:r>
          </w:p>
        </w:tc>
      </w:tr>
    </w:tbl>
    <w:p w14:paraId="18112893" w14:textId="77777777" w:rsidR="00367E91" w:rsidRDefault="00367E91">
      <w:pPr>
        <w:spacing w:after="0"/>
      </w:pPr>
    </w:p>
    <w:p w14:paraId="654E4101" w14:textId="77777777" w:rsidR="00367E91" w:rsidRDefault="002B0324">
      <w:r>
        <w:t>U 2025. godini  temeljem Odluke o raspodjeli rezultata pokriven je manjak od nefinancijske imovine ostvaren u 2024. godini u iznosu  15.458,74 eura. Izvršen je ispravak viška prihoda poslovanja za 2024. godinu- višak je povećan za iznos 212,28 eura, jer je</w:t>
      </w:r>
      <w:r>
        <w:t xml:space="preserve"> u 2024. godini dva puta evidentiran isti rashod, a smanjen za obveze prema studentima koji su više platili troškove školovanja a  za preplaćeni iznos nije umanjen ostvareni prihod u ranijim godinama (iznos 1.833,69 eura). Temeljem Upute o evidentiranju EU</w:t>
      </w:r>
      <w:r>
        <w:t xml:space="preserve"> projekata.  višak prihoda umanjen  je za primljenu neutrošenu akontaciju za projekte EU SHINE  (9.459.73 eura,) EUGEQUALIY  ( 10.448,75 eura) i UNIPAR (26.770,44 eura) koja je proknjižena na  konta 27511 Obveze za EU predujmove. Također je  ispravljeno za</w:t>
      </w:r>
      <w:r>
        <w:t xml:space="preserve"> prihode od prodaje stanova sa stanarskim pravom koji su bili pogrešno evidentirani na Višku prihoda poslovanja a trebali su biti na Višku prihoda od nefinancijske imovine. Konačni iznos prenesenog Viška prihoda poslovanja u 2025. godini nakon  ispravaka a</w:t>
      </w:r>
      <w:r>
        <w:t xml:space="preserve"> prije utvrđivanja rezultata iznosi 528.524,09 a Višak prihoda od nefinancijske imovine iznosi 7.362,00 eura.</w:t>
      </w:r>
    </w:p>
    <w:p w14:paraId="0620A6A6" w14:textId="77777777" w:rsidR="00367E91" w:rsidRDefault="00367E91"/>
    <w:p w14:paraId="2DA5D545" w14:textId="77777777" w:rsidR="00367E91" w:rsidRDefault="002B0324">
      <w:pPr>
        <w:keepNext/>
        <w:spacing w:line="240" w:lineRule="auto"/>
        <w:jc w:val="center"/>
      </w:pPr>
      <w:r>
        <w:rPr>
          <w:sz w:val="28"/>
        </w:rPr>
        <w:t>Bilješka 43.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367E91" w14:paraId="3DFE9CCE"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DF37CED" w14:textId="77777777" w:rsidR="00367E91" w:rsidRDefault="002B0324">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110C672B" w14:textId="77777777" w:rsidR="00367E91" w:rsidRDefault="002B0324">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3DE92A5" w14:textId="77777777" w:rsidR="00367E91" w:rsidRDefault="002B0324">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CAC9C5C" w14:textId="77777777" w:rsidR="00367E91" w:rsidRDefault="002B0324">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4F735C8" w14:textId="77777777" w:rsidR="00367E91" w:rsidRDefault="002B0324">
            <w:pPr>
              <w:keepNext/>
              <w:keepLines/>
              <w:spacing w:after="0" w:line="240" w:lineRule="auto"/>
              <w:jc w:val="center"/>
            </w:pPr>
            <w:r>
              <w:rPr>
                <w:b/>
                <w:sz w:val="18"/>
              </w:rPr>
              <w:t xml:space="preserve">Ostvareno u izvještajnom razdoblju tekuće </w:t>
            </w:r>
            <w:r>
              <w:rPr>
                <w:b/>
                <w:sz w:val="18"/>
              </w:rPr>
              <w:t>godine</w:t>
            </w:r>
          </w:p>
        </w:tc>
        <w:tc>
          <w:tcPr>
            <w:tcW w:w="700" w:type="dxa"/>
            <w:shd w:val="clear" w:color="auto" w:fill="E7F0F9"/>
            <w:tcMar>
              <w:top w:w="0" w:type="dxa"/>
              <w:bottom w:w="0" w:type="dxa"/>
            </w:tcMar>
            <w:vAlign w:val="center"/>
          </w:tcPr>
          <w:p w14:paraId="4AD73AFB" w14:textId="77777777" w:rsidR="00367E91" w:rsidRDefault="002B0324">
            <w:pPr>
              <w:keepNext/>
              <w:keepLines/>
              <w:spacing w:after="0" w:line="240" w:lineRule="auto"/>
              <w:jc w:val="center"/>
            </w:pPr>
            <w:r>
              <w:rPr>
                <w:b/>
                <w:sz w:val="18"/>
              </w:rPr>
              <w:t>Indeks (%)</w:t>
            </w:r>
          </w:p>
        </w:tc>
      </w:tr>
      <w:tr w:rsidR="00367E91" w14:paraId="6731C03E" w14:textId="77777777">
        <w:tblPrEx>
          <w:tblCellMar>
            <w:top w:w="0" w:type="dxa"/>
            <w:bottom w:w="0" w:type="dxa"/>
          </w:tblCellMar>
        </w:tblPrEx>
        <w:trPr>
          <w:cantSplit/>
          <w:trHeight w:val="560"/>
        </w:trPr>
        <w:tc>
          <w:tcPr>
            <w:tcW w:w="700" w:type="dxa"/>
            <w:tcMar>
              <w:top w:w="0" w:type="dxa"/>
              <w:bottom w:w="0" w:type="dxa"/>
            </w:tcMar>
            <w:vAlign w:val="center"/>
          </w:tcPr>
          <w:p w14:paraId="6BD25AB5" w14:textId="77777777" w:rsidR="00367E91" w:rsidRDefault="002B0324">
            <w:pPr>
              <w:keepNext/>
              <w:keepLines/>
              <w:spacing w:after="0" w:line="240" w:lineRule="auto"/>
            </w:pPr>
            <w:r>
              <w:rPr>
                <w:sz w:val="18"/>
              </w:rPr>
              <w:t>96, 97</w:t>
            </w:r>
          </w:p>
        </w:tc>
        <w:tc>
          <w:tcPr>
            <w:tcW w:w="3180" w:type="dxa"/>
            <w:tcMar>
              <w:top w:w="0" w:type="dxa"/>
              <w:bottom w:w="0" w:type="dxa"/>
            </w:tcMar>
            <w:vAlign w:val="center"/>
          </w:tcPr>
          <w:p w14:paraId="7FEEC3B7" w14:textId="77777777" w:rsidR="00367E91" w:rsidRDefault="002B0324">
            <w:pPr>
              <w:keepNext/>
              <w:keepLines/>
              <w:spacing w:after="0" w:line="240" w:lineRule="auto"/>
            </w:pPr>
            <w:r>
              <w:rPr>
                <w:sz w:val="18"/>
              </w:rPr>
              <w:t>Obračunati prihodi poslovanja i od prodaje nefinancijske imovine - nenaplaćeni (šifre 96+97)</w:t>
            </w:r>
          </w:p>
        </w:tc>
        <w:tc>
          <w:tcPr>
            <w:tcW w:w="700" w:type="dxa"/>
            <w:tcMar>
              <w:top w:w="0" w:type="dxa"/>
              <w:bottom w:w="0" w:type="dxa"/>
            </w:tcMar>
            <w:vAlign w:val="center"/>
          </w:tcPr>
          <w:p w14:paraId="05D74E54" w14:textId="77777777" w:rsidR="00367E91" w:rsidRDefault="002B0324">
            <w:pPr>
              <w:keepNext/>
              <w:keepLines/>
              <w:spacing w:after="0" w:line="240" w:lineRule="auto"/>
            </w:pPr>
            <w:r>
              <w:rPr>
                <w:sz w:val="18"/>
              </w:rPr>
              <w:t>96,97</w:t>
            </w:r>
          </w:p>
        </w:tc>
        <w:tc>
          <w:tcPr>
            <w:tcW w:w="1860" w:type="dxa"/>
            <w:tcMar>
              <w:top w:w="0" w:type="dxa"/>
              <w:bottom w:w="0" w:type="dxa"/>
            </w:tcMar>
            <w:vAlign w:val="center"/>
          </w:tcPr>
          <w:p w14:paraId="2FE48FF5" w14:textId="77777777" w:rsidR="00367E91" w:rsidRDefault="002B0324">
            <w:pPr>
              <w:keepNext/>
              <w:keepLines/>
              <w:spacing w:after="0" w:line="240" w:lineRule="auto"/>
              <w:jc w:val="right"/>
            </w:pPr>
            <w:r>
              <w:rPr>
                <w:sz w:val="18"/>
              </w:rPr>
              <w:t>85.769,39</w:t>
            </w:r>
          </w:p>
        </w:tc>
        <w:tc>
          <w:tcPr>
            <w:tcW w:w="1860" w:type="dxa"/>
            <w:tcMar>
              <w:top w:w="0" w:type="dxa"/>
              <w:bottom w:w="0" w:type="dxa"/>
            </w:tcMar>
            <w:vAlign w:val="center"/>
          </w:tcPr>
          <w:p w14:paraId="6E73809E" w14:textId="77777777" w:rsidR="00367E91" w:rsidRDefault="002B0324">
            <w:pPr>
              <w:keepNext/>
              <w:keepLines/>
              <w:spacing w:after="0" w:line="240" w:lineRule="auto"/>
              <w:jc w:val="right"/>
            </w:pPr>
            <w:r>
              <w:rPr>
                <w:sz w:val="18"/>
              </w:rPr>
              <w:t>265.412,57</w:t>
            </w:r>
          </w:p>
        </w:tc>
        <w:tc>
          <w:tcPr>
            <w:tcW w:w="700" w:type="dxa"/>
            <w:tcMar>
              <w:top w:w="0" w:type="dxa"/>
              <w:bottom w:w="0" w:type="dxa"/>
            </w:tcMar>
            <w:vAlign w:val="center"/>
          </w:tcPr>
          <w:p w14:paraId="601A2CB3" w14:textId="77777777" w:rsidR="00367E91" w:rsidRDefault="002B0324">
            <w:pPr>
              <w:keepNext/>
              <w:keepLines/>
              <w:spacing w:after="0" w:line="240" w:lineRule="auto"/>
              <w:jc w:val="right"/>
            </w:pPr>
            <w:r>
              <w:rPr>
                <w:sz w:val="18"/>
              </w:rPr>
              <w:t>309,4</w:t>
            </w:r>
          </w:p>
        </w:tc>
      </w:tr>
    </w:tbl>
    <w:p w14:paraId="7AA8F5F8" w14:textId="77777777" w:rsidR="00367E91" w:rsidRDefault="00367E91">
      <w:pPr>
        <w:spacing w:after="0"/>
      </w:pPr>
    </w:p>
    <w:p w14:paraId="3EF11711" w14:textId="77777777" w:rsidR="00367E91" w:rsidRDefault="002B0324">
      <w:r>
        <w:t>objašnjeno pod 96</w:t>
      </w:r>
    </w:p>
    <w:p w14:paraId="420EB746" w14:textId="77777777" w:rsidR="00367E91" w:rsidRDefault="00367E91"/>
    <w:p w14:paraId="4999D8F0" w14:textId="77777777" w:rsidR="00367E91" w:rsidRDefault="002B0324">
      <w:pPr>
        <w:keepNext/>
        <w:spacing w:line="240" w:lineRule="auto"/>
        <w:jc w:val="center"/>
      </w:pPr>
      <w:r>
        <w:rPr>
          <w:sz w:val="28"/>
        </w:rPr>
        <w:t>Bilješka 44.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367E91" w14:paraId="2364D639"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E24473B" w14:textId="77777777" w:rsidR="00367E91" w:rsidRDefault="002B0324">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40CD6652" w14:textId="77777777" w:rsidR="00367E91" w:rsidRDefault="002B0324">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2DB20FF" w14:textId="77777777" w:rsidR="00367E91" w:rsidRDefault="002B0324">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B8D9BDF" w14:textId="77777777" w:rsidR="00367E91" w:rsidRDefault="002B0324">
            <w:pPr>
              <w:keepNext/>
              <w:keepLines/>
              <w:spacing w:after="0" w:line="240" w:lineRule="auto"/>
              <w:jc w:val="center"/>
            </w:pPr>
            <w:r>
              <w:rPr>
                <w:b/>
                <w:sz w:val="18"/>
              </w:rPr>
              <w:t xml:space="preserve">Ostvareno u </w:t>
            </w:r>
            <w:r>
              <w:rPr>
                <w:b/>
                <w:sz w:val="18"/>
              </w:rPr>
              <w:t>izvještajnom razdoblju prethodne godine</w:t>
            </w:r>
          </w:p>
        </w:tc>
        <w:tc>
          <w:tcPr>
            <w:tcW w:w="1860" w:type="dxa"/>
            <w:shd w:val="clear" w:color="auto" w:fill="E7F0F9"/>
            <w:tcMar>
              <w:top w:w="0" w:type="dxa"/>
              <w:bottom w:w="0" w:type="dxa"/>
            </w:tcMar>
            <w:vAlign w:val="center"/>
          </w:tcPr>
          <w:p w14:paraId="12A18D8F" w14:textId="77777777" w:rsidR="00367E91" w:rsidRDefault="002B0324">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AC06EBB" w14:textId="77777777" w:rsidR="00367E91" w:rsidRDefault="002B0324">
            <w:pPr>
              <w:keepNext/>
              <w:keepLines/>
              <w:spacing w:after="0" w:line="240" w:lineRule="auto"/>
              <w:jc w:val="center"/>
            </w:pPr>
            <w:r>
              <w:rPr>
                <w:b/>
                <w:sz w:val="18"/>
              </w:rPr>
              <w:t>Indeks (%)</w:t>
            </w:r>
          </w:p>
        </w:tc>
      </w:tr>
      <w:tr w:rsidR="00367E91" w14:paraId="412F956D" w14:textId="77777777">
        <w:tblPrEx>
          <w:tblCellMar>
            <w:top w:w="0" w:type="dxa"/>
            <w:bottom w:w="0" w:type="dxa"/>
          </w:tblCellMar>
        </w:tblPrEx>
        <w:trPr>
          <w:cantSplit/>
          <w:trHeight w:val="560"/>
        </w:trPr>
        <w:tc>
          <w:tcPr>
            <w:tcW w:w="700" w:type="dxa"/>
            <w:tcMar>
              <w:top w:w="0" w:type="dxa"/>
              <w:bottom w:w="0" w:type="dxa"/>
            </w:tcMar>
            <w:vAlign w:val="center"/>
          </w:tcPr>
          <w:p w14:paraId="6E7B1DD3" w14:textId="77777777" w:rsidR="00367E91" w:rsidRDefault="002B0324">
            <w:pPr>
              <w:keepNext/>
              <w:keepLines/>
              <w:spacing w:after="0" w:line="240" w:lineRule="auto"/>
            </w:pPr>
            <w:r>
              <w:rPr>
                <w:sz w:val="18"/>
              </w:rPr>
              <w:t>11-dugov.</w:t>
            </w:r>
          </w:p>
        </w:tc>
        <w:tc>
          <w:tcPr>
            <w:tcW w:w="3180" w:type="dxa"/>
            <w:tcMar>
              <w:top w:w="0" w:type="dxa"/>
              <w:bottom w:w="0" w:type="dxa"/>
            </w:tcMar>
            <w:vAlign w:val="center"/>
          </w:tcPr>
          <w:p w14:paraId="04340EAF" w14:textId="77777777" w:rsidR="00367E91" w:rsidRDefault="002B0324">
            <w:pPr>
              <w:keepNext/>
              <w:keepLines/>
              <w:spacing w:after="0" w:line="240" w:lineRule="auto"/>
            </w:pPr>
            <w:r>
              <w:rPr>
                <w:sz w:val="18"/>
              </w:rPr>
              <w:t>Ukupni priljevi na novčane račune i blagajne</w:t>
            </w:r>
          </w:p>
        </w:tc>
        <w:tc>
          <w:tcPr>
            <w:tcW w:w="700" w:type="dxa"/>
            <w:tcMar>
              <w:top w:w="0" w:type="dxa"/>
              <w:bottom w:w="0" w:type="dxa"/>
            </w:tcMar>
            <w:vAlign w:val="center"/>
          </w:tcPr>
          <w:p w14:paraId="5C23F9C2" w14:textId="77777777" w:rsidR="00367E91" w:rsidRDefault="002B0324">
            <w:pPr>
              <w:keepNext/>
              <w:keepLines/>
              <w:spacing w:after="0" w:line="240" w:lineRule="auto"/>
            </w:pPr>
            <w:r>
              <w:rPr>
                <w:sz w:val="18"/>
              </w:rPr>
              <w:t>11-dugov.</w:t>
            </w:r>
          </w:p>
        </w:tc>
        <w:tc>
          <w:tcPr>
            <w:tcW w:w="1860" w:type="dxa"/>
            <w:tcMar>
              <w:top w:w="0" w:type="dxa"/>
              <w:bottom w:w="0" w:type="dxa"/>
            </w:tcMar>
            <w:vAlign w:val="center"/>
          </w:tcPr>
          <w:p w14:paraId="6B316B6E" w14:textId="77777777" w:rsidR="00367E91" w:rsidRDefault="002B0324">
            <w:pPr>
              <w:keepNext/>
              <w:keepLines/>
              <w:spacing w:after="0" w:line="240" w:lineRule="auto"/>
              <w:jc w:val="right"/>
            </w:pPr>
            <w:r>
              <w:rPr>
                <w:sz w:val="18"/>
              </w:rPr>
              <w:t>5.202.686,85</w:t>
            </w:r>
          </w:p>
        </w:tc>
        <w:tc>
          <w:tcPr>
            <w:tcW w:w="1860" w:type="dxa"/>
            <w:tcMar>
              <w:top w:w="0" w:type="dxa"/>
              <w:bottom w:w="0" w:type="dxa"/>
            </w:tcMar>
            <w:vAlign w:val="center"/>
          </w:tcPr>
          <w:p w14:paraId="61F340A3" w14:textId="77777777" w:rsidR="00367E91" w:rsidRDefault="002B0324">
            <w:pPr>
              <w:keepNext/>
              <w:keepLines/>
              <w:spacing w:after="0" w:line="240" w:lineRule="auto"/>
              <w:jc w:val="right"/>
            </w:pPr>
            <w:r>
              <w:rPr>
                <w:sz w:val="18"/>
              </w:rPr>
              <w:t>1.539.054,05</w:t>
            </w:r>
          </w:p>
        </w:tc>
        <w:tc>
          <w:tcPr>
            <w:tcW w:w="700" w:type="dxa"/>
            <w:tcMar>
              <w:top w:w="0" w:type="dxa"/>
              <w:bottom w:w="0" w:type="dxa"/>
            </w:tcMar>
            <w:vAlign w:val="center"/>
          </w:tcPr>
          <w:p w14:paraId="4C0399C9" w14:textId="77777777" w:rsidR="00367E91" w:rsidRDefault="002B0324">
            <w:pPr>
              <w:keepNext/>
              <w:keepLines/>
              <w:spacing w:after="0" w:line="240" w:lineRule="auto"/>
              <w:jc w:val="right"/>
            </w:pPr>
            <w:r>
              <w:rPr>
                <w:sz w:val="18"/>
              </w:rPr>
              <w:t>29,6</w:t>
            </w:r>
          </w:p>
        </w:tc>
      </w:tr>
    </w:tbl>
    <w:p w14:paraId="59845588" w14:textId="77777777" w:rsidR="00367E91" w:rsidRDefault="00367E91">
      <w:pPr>
        <w:spacing w:after="0"/>
      </w:pPr>
    </w:p>
    <w:p w14:paraId="44D22191" w14:textId="77777777" w:rsidR="00367E91" w:rsidRDefault="002B0324">
      <w:r>
        <w:t>U 2024.godini prilikom izračuna priljeva i odljeva novčanih sredstava uključena su bila i sredstva iz Riznice za plaće, materijalna prava i prijevoz zaposlenika koja u stvarnosti nisu pravi novčani tijek nego se samo evidentiraju na kontu 11111 Novac na ži</w:t>
      </w:r>
      <w:r>
        <w:t>ro-računu kod Hrvatske narodne banke (isti iznos eura na priljevu i odljevu)</w:t>
      </w:r>
    </w:p>
    <w:p w14:paraId="4C5E8560" w14:textId="77777777" w:rsidR="00367E91" w:rsidRDefault="00367E91"/>
    <w:p w14:paraId="612F9B93" w14:textId="77777777" w:rsidR="00367E91" w:rsidRDefault="002B0324">
      <w:pPr>
        <w:keepNext/>
        <w:spacing w:line="240" w:lineRule="auto"/>
        <w:jc w:val="center"/>
      </w:pPr>
      <w:r>
        <w:rPr>
          <w:sz w:val="28"/>
        </w:rPr>
        <w:t>Bilješka 45.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367E91" w14:paraId="75A7EBED"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A703F39" w14:textId="77777777" w:rsidR="00367E91" w:rsidRDefault="002B0324">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3F367255" w14:textId="77777777" w:rsidR="00367E91" w:rsidRDefault="002B0324">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6CCEDD6" w14:textId="77777777" w:rsidR="00367E91" w:rsidRDefault="002B0324">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ECD051C" w14:textId="77777777" w:rsidR="00367E91" w:rsidRDefault="002B0324">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A49B8E5" w14:textId="77777777" w:rsidR="00367E91" w:rsidRDefault="002B0324">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9470C19" w14:textId="77777777" w:rsidR="00367E91" w:rsidRDefault="002B0324">
            <w:pPr>
              <w:keepNext/>
              <w:keepLines/>
              <w:spacing w:after="0" w:line="240" w:lineRule="auto"/>
              <w:jc w:val="center"/>
            </w:pPr>
            <w:r>
              <w:rPr>
                <w:b/>
                <w:sz w:val="18"/>
              </w:rPr>
              <w:t>Indeks (%)</w:t>
            </w:r>
          </w:p>
        </w:tc>
      </w:tr>
      <w:tr w:rsidR="00367E91" w14:paraId="78BF8FCD" w14:textId="77777777">
        <w:tblPrEx>
          <w:tblCellMar>
            <w:top w:w="0" w:type="dxa"/>
            <w:bottom w:w="0" w:type="dxa"/>
          </w:tblCellMar>
        </w:tblPrEx>
        <w:trPr>
          <w:cantSplit/>
          <w:trHeight w:val="560"/>
        </w:trPr>
        <w:tc>
          <w:tcPr>
            <w:tcW w:w="700" w:type="dxa"/>
            <w:tcMar>
              <w:top w:w="0" w:type="dxa"/>
              <w:bottom w:w="0" w:type="dxa"/>
            </w:tcMar>
            <w:vAlign w:val="center"/>
          </w:tcPr>
          <w:p w14:paraId="4612E2ED" w14:textId="77777777" w:rsidR="00367E91" w:rsidRDefault="002B0324">
            <w:pPr>
              <w:keepNext/>
              <w:keepLines/>
              <w:spacing w:after="0" w:line="240" w:lineRule="auto"/>
            </w:pPr>
            <w:r>
              <w:rPr>
                <w:sz w:val="18"/>
              </w:rPr>
              <w:t>11-potraž.</w:t>
            </w:r>
          </w:p>
        </w:tc>
        <w:tc>
          <w:tcPr>
            <w:tcW w:w="3180" w:type="dxa"/>
            <w:tcMar>
              <w:top w:w="0" w:type="dxa"/>
              <w:bottom w:w="0" w:type="dxa"/>
            </w:tcMar>
            <w:vAlign w:val="center"/>
          </w:tcPr>
          <w:p w14:paraId="5D987371" w14:textId="77777777" w:rsidR="00367E91" w:rsidRDefault="002B0324">
            <w:pPr>
              <w:keepNext/>
              <w:keepLines/>
              <w:spacing w:after="0" w:line="240" w:lineRule="auto"/>
            </w:pPr>
            <w:r>
              <w:rPr>
                <w:sz w:val="18"/>
              </w:rPr>
              <w:t>Ukupni odljevi s novčanih računa i blagajni</w:t>
            </w:r>
          </w:p>
        </w:tc>
        <w:tc>
          <w:tcPr>
            <w:tcW w:w="700" w:type="dxa"/>
            <w:tcMar>
              <w:top w:w="0" w:type="dxa"/>
              <w:bottom w:w="0" w:type="dxa"/>
            </w:tcMar>
            <w:vAlign w:val="center"/>
          </w:tcPr>
          <w:p w14:paraId="3C918B9F" w14:textId="77777777" w:rsidR="00367E91" w:rsidRDefault="002B0324">
            <w:pPr>
              <w:keepNext/>
              <w:keepLines/>
              <w:spacing w:after="0" w:line="240" w:lineRule="auto"/>
            </w:pPr>
            <w:r>
              <w:rPr>
                <w:sz w:val="18"/>
              </w:rPr>
              <w:t>11-potraž.</w:t>
            </w:r>
          </w:p>
        </w:tc>
        <w:tc>
          <w:tcPr>
            <w:tcW w:w="1860" w:type="dxa"/>
            <w:tcMar>
              <w:top w:w="0" w:type="dxa"/>
              <w:bottom w:w="0" w:type="dxa"/>
            </w:tcMar>
            <w:vAlign w:val="center"/>
          </w:tcPr>
          <w:p w14:paraId="36A616DF" w14:textId="77777777" w:rsidR="00367E91" w:rsidRDefault="002B0324">
            <w:pPr>
              <w:keepNext/>
              <w:keepLines/>
              <w:spacing w:after="0" w:line="240" w:lineRule="auto"/>
              <w:jc w:val="right"/>
            </w:pPr>
            <w:r>
              <w:rPr>
                <w:sz w:val="18"/>
              </w:rPr>
              <w:t>5.589.881,34</w:t>
            </w:r>
          </w:p>
        </w:tc>
        <w:tc>
          <w:tcPr>
            <w:tcW w:w="1860" w:type="dxa"/>
            <w:tcMar>
              <w:top w:w="0" w:type="dxa"/>
              <w:bottom w:w="0" w:type="dxa"/>
            </w:tcMar>
            <w:vAlign w:val="center"/>
          </w:tcPr>
          <w:p w14:paraId="1CC84720" w14:textId="77777777" w:rsidR="00367E91" w:rsidRDefault="002B0324">
            <w:pPr>
              <w:keepNext/>
              <w:keepLines/>
              <w:spacing w:after="0" w:line="240" w:lineRule="auto"/>
              <w:jc w:val="right"/>
            </w:pPr>
            <w:r>
              <w:rPr>
                <w:sz w:val="18"/>
              </w:rPr>
              <w:t>1.546.952,65</w:t>
            </w:r>
          </w:p>
        </w:tc>
        <w:tc>
          <w:tcPr>
            <w:tcW w:w="700" w:type="dxa"/>
            <w:tcMar>
              <w:top w:w="0" w:type="dxa"/>
              <w:bottom w:w="0" w:type="dxa"/>
            </w:tcMar>
            <w:vAlign w:val="center"/>
          </w:tcPr>
          <w:p w14:paraId="4A5D4F7F" w14:textId="77777777" w:rsidR="00367E91" w:rsidRDefault="002B0324">
            <w:pPr>
              <w:keepNext/>
              <w:keepLines/>
              <w:spacing w:after="0" w:line="240" w:lineRule="auto"/>
              <w:jc w:val="right"/>
            </w:pPr>
            <w:r>
              <w:rPr>
                <w:sz w:val="18"/>
              </w:rPr>
              <w:t>27,7</w:t>
            </w:r>
          </w:p>
        </w:tc>
      </w:tr>
    </w:tbl>
    <w:p w14:paraId="67FCB56A" w14:textId="77777777" w:rsidR="00367E91" w:rsidRDefault="00367E91">
      <w:pPr>
        <w:spacing w:after="0"/>
      </w:pPr>
    </w:p>
    <w:p w14:paraId="64C88CC8" w14:textId="77777777" w:rsidR="00367E91" w:rsidRDefault="002B0324">
      <w:r>
        <w:t>U 2024.godini prilikom izračuna priljeva i odljeva novčanih sredstava uključena su bila i sredstva iz Riznice za plaće, materijalna prava i prijevoz zaposlenika koja u stvarnosti nisu pravi novčani tijek nego se samo evidentiraju na kontu 11111 Novac na ži</w:t>
      </w:r>
      <w:r>
        <w:t>ro-računu kod Hrvatske narodne banke (isti iznos  eura na priljevu i odljevu)</w:t>
      </w:r>
    </w:p>
    <w:p w14:paraId="7CCDB65C" w14:textId="77777777" w:rsidR="00367E91" w:rsidRDefault="00367E91"/>
    <w:p w14:paraId="7AD9E23A" w14:textId="77777777" w:rsidR="00367E91" w:rsidRDefault="002B0324">
      <w:pPr>
        <w:keepNext/>
        <w:spacing w:line="240" w:lineRule="auto"/>
        <w:jc w:val="center"/>
      </w:pPr>
      <w:r>
        <w:rPr>
          <w:b/>
          <w:sz w:val="28"/>
        </w:rPr>
        <w:t>Bilanca</w:t>
      </w:r>
    </w:p>
    <w:p w14:paraId="13C8C030" w14:textId="77777777" w:rsidR="00367E91" w:rsidRDefault="002B0324">
      <w:pPr>
        <w:keepNext/>
        <w:spacing w:line="240" w:lineRule="auto"/>
        <w:jc w:val="center"/>
      </w:pPr>
      <w:r>
        <w:rPr>
          <w:sz w:val="28"/>
        </w:rPr>
        <w:t>Bilješka 46.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367E91" w14:paraId="5F283BAE"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781A152" w14:textId="77777777" w:rsidR="00367E91" w:rsidRDefault="002B0324">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63167CE3" w14:textId="77777777" w:rsidR="00367E91" w:rsidRDefault="002B0324">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0C1EFD9" w14:textId="77777777" w:rsidR="00367E91" w:rsidRDefault="002B0324">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B1B3A70" w14:textId="77777777" w:rsidR="00367E91" w:rsidRDefault="002B0324">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3E9DB607" w14:textId="77777777" w:rsidR="00367E91" w:rsidRDefault="002B0324">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435CEE21" w14:textId="77777777" w:rsidR="00367E91" w:rsidRDefault="002B0324">
            <w:pPr>
              <w:keepNext/>
              <w:keepLines/>
              <w:spacing w:after="0" w:line="240" w:lineRule="auto"/>
              <w:jc w:val="center"/>
            </w:pPr>
            <w:r>
              <w:rPr>
                <w:b/>
                <w:sz w:val="18"/>
              </w:rPr>
              <w:t>Indeks (%)</w:t>
            </w:r>
          </w:p>
        </w:tc>
      </w:tr>
      <w:tr w:rsidR="00367E91" w14:paraId="67889C1A" w14:textId="77777777">
        <w:tblPrEx>
          <w:tblCellMar>
            <w:top w:w="0" w:type="dxa"/>
            <w:bottom w:w="0" w:type="dxa"/>
          </w:tblCellMar>
        </w:tblPrEx>
        <w:trPr>
          <w:cantSplit/>
          <w:trHeight w:val="560"/>
        </w:trPr>
        <w:tc>
          <w:tcPr>
            <w:tcW w:w="700" w:type="dxa"/>
            <w:tcMar>
              <w:top w:w="0" w:type="dxa"/>
              <w:bottom w:w="0" w:type="dxa"/>
            </w:tcMar>
            <w:vAlign w:val="center"/>
          </w:tcPr>
          <w:p w14:paraId="25867E4B" w14:textId="77777777" w:rsidR="00367E91" w:rsidRDefault="002B0324">
            <w:pPr>
              <w:keepNext/>
              <w:keepLines/>
              <w:spacing w:after="0" w:line="240" w:lineRule="auto"/>
            </w:pPr>
            <w:r>
              <w:rPr>
                <w:sz w:val="18"/>
              </w:rPr>
              <w:t>021 i 02921</w:t>
            </w:r>
          </w:p>
        </w:tc>
        <w:tc>
          <w:tcPr>
            <w:tcW w:w="3180" w:type="dxa"/>
            <w:tcMar>
              <w:top w:w="0" w:type="dxa"/>
              <w:bottom w:w="0" w:type="dxa"/>
            </w:tcMar>
            <w:vAlign w:val="center"/>
          </w:tcPr>
          <w:p w14:paraId="33A7D54B" w14:textId="77777777" w:rsidR="00367E91" w:rsidRDefault="002B0324">
            <w:pPr>
              <w:keepNext/>
              <w:keepLines/>
              <w:spacing w:after="0" w:line="240" w:lineRule="auto"/>
            </w:pPr>
            <w:r>
              <w:rPr>
                <w:sz w:val="18"/>
              </w:rPr>
              <w:t>Građevinski objekti (šifre 0211 do 0214 - 02921)</w:t>
            </w:r>
          </w:p>
        </w:tc>
        <w:tc>
          <w:tcPr>
            <w:tcW w:w="700" w:type="dxa"/>
            <w:tcMar>
              <w:top w:w="0" w:type="dxa"/>
              <w:bottom w:w="0" w:type="dxa"/>
            </w:tcMar>
            <w:vAlign w:val="center"/>
          </w:tcPr>
          <w:p w14:paraId="48AE741D" w14:textId="77777777" w:rsidR="00367E91" w:rsidRDefault="002B0324">
            <w:pPr>
              <w:keepNext/>
              <w:keepLines/>
              <w:spacing w:after="0" w:line="240" w:lineRule="auto"/>
            </w:pPr>
            <w:r>
              <w:rPr>
                <w:sz w:val="18"/>
              </w:rPr>
              <w:t>021 i</w:t>
            </w:r>
            <w:r>
              <w:rPr>
                <w:sz w:val="18"/>
              </w:rPr>
              <w:t xml:space="preserve"> 02921</w:t>
            </w:r>
          </w:p>
        </w:tc>
        <w:tc>
          <w:tcPr>
            <w:tcW w:w="1860" w:type="dxa"/>
            <w:tcMar>
              <w:top w:w="0" w:type="dxa"/>
              <w:bottom w:w="0" w:type="dxa"/>
            </w:tcMar>
            <w:vAlign w:val="center"/>
          </w:tcPr>
          <w:p w14:paraId="67A95C84" w14:textId="77777777" w:rsidR="00367E91" w:rsidRDefault="002B0324">
            <w:pPr>
              <w:keepNext/>
              <w:keepLines/>
              <w:spacing w:after="0" w:line="240" w:lineRule="auto"/>
              <w:jc w:val="right"/>
            </w:pPr>
            <w:r>
              <w:rPr>
                <w:sz w:val="18"/>
              </w:rPr>
              <w:t>0,00</w:t>
            </w:r>
          </w:p>
        </w:tc>
        <w:tc>
          <w:tcPr>
            <w:tcW w:w="1860" w:type="dxa"/>
            <w:tcMar>
              <w:top w:w="0" w:type="dxa"/>
              <w:bottom w:w="0" w:type="dxa"/>
            </w:tcMar>
            <w:vAlign w:val="center"/>
          </w:tcPr>
          <w:p w14:paraId="674F27F1" w14:textId="77777777" w:rsidR="00367E91" w:rsidRDefault="002B0324">
            <w:pPr>
              <w:keepNext/>
              <w:keepLines/>
              <w:spacing w:after="0" w:line="240" w:lineRule="auto"/>
              <w:jc w:val="right"/>
            </w:pPr>
            <w:r>
              <w:rPr>
                <w:sz w:val="18"/>
              </w:rPr>
              <w:t>0,00</w:t>
            </w:r>
          </w:p>
        </w:tc>
        <w:tc>
          <w:tcPr>
            <w:tcW w:w="700" w:type="dxa"/>
            <w:tcMar>
              <w:top w:w="0" w:type="dxa"/>
              <w:bottom w:w="0" w:type="dxa"/>
            </w:tcMar>
            <w:vAlign w:val="center"/>
          </w:tcPr>
          <w:p w14:paraId="62BC2948" w14:textId="77777777" w:rsidR="00367E91" w:rsidRDefault="002B0324">
            <w:pPr>
              <w:keepNext/>
              <w:keepLines/>
              <w:spacing w:after="0" w:line="240" w:lineRule="auto"/>
              <w:jc w:val="right"/>
            </w:pPr>
            <w:r>
              <w:rPr>
                <w:sz w:val="18"/>
              </w:rPr>
              <w:t>-</w:t>
            </w:r>
          </w:p>
        </w:tc>
      </w:tr>
    </w:tbl>
    <w:p w14:paraId="7ED96F54" w14:textId="77777777" w:rsidR="00367E91" w:rsidRDefault="00367E91">
      <w:pPr>
        <w:spacing w:after="0"/>
      </w:pPr>
    </w:p>
    <w:p w14:paraId="7690DA34" w14:textId="77777777" w:rsidR="00367E91" w:rsidRDefault="002B0324">
      <w:r>
        <w:t>.</w:t>
      </w:r>
    </w:p>
    <w:p w14:paraId="2E10044A" w14:textId="77777777" w:rsidR="00367E91" w:rsidRDefault="00367E91"/>
    <w:p w14:paraId="3781470D" w14:textId="77777777" w:rsidR="00367E91" w:rsidRDefault="002B0324">
      <w:pPr>
        <w:keepNext/>
        <w:spacing w:line="240" w:lineRule="auto"/>
        <w:jc w:val="center"/>
      </w:pPr>
      <w:r>
        <w:rPr>
          <w:sz w:val="28"/>
        </w:rPr>
        <w:t>Bilješka 47.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367E91" w14:paraId="3D83E167"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58F9217" w14:textId="77777777" w:rsidR="00367E91" w:rsidRDefault="002B0324">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1FE46A6D" w14:textId="77777777" w:rsidR="00367E91" w:rsidRDefault="002B0324">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8D3AAFF" w14:textId="77777777" w:rsidR="00367E91" w:rsidRDefault="002B0324">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B53B27C" w14:textId="77777777" w:rsidR="00367E91" w:rsidRDefault="002B0324">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24F2FB37" w14:textId="77777777" w:rsidR="00367E91" w:rsidRDefault="002B0324">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189C415A" w14:textId="77777777" w:rsidR="00367E91" w:rsidRDefault="002B0324">
            <w:pPr>
              <w:keepNext/>
              <w:keepLines/>
              <w:spacing w:after="0" w:line="240" w:lineRule="auto"/>
              <w:jc w:val="center"/>
            </w:pPr>
            <w:r>
              <w:rPr>
                <w:b/>
                <w:sz w:val="18"/>
              </w:rPr>
              <w:t>Indeks (%)</w:t>
            </w:r>
          </w:p>
        </w:tc>
      </w:tr>
      <w:tr w:rsidR="00367E91" w14:paraId="5E98F740" w14:textId="77777777">
        <w:tblPrEx>
          <w:tblCellMar>
            <w:top w:w="0" w:type="dxa"/>
            <w:bottom w:w="0" w:type="dxa"/>
          </w:tblCellMar>
        </w:tblPrEx>
        <w:trPr>
          <w:cantSplit/>
          <w:trHeight w:val="560"/>
        </w:trPr>
        <w:tc>
          <w:tcPr>
            <w:tcW w:w="700" w:type="dxa"/>
            <w:tcMar>
              <w:top w:w="0" w:type="dxa"/>
              <w:bottom w:w="0" w:type="dxa"/>
            </w:tcMar>
            <w:vAlign w:val="center"/>
          </w:tcPr>
          <w:p w14:paraId="076AFFBE" w14:textId="77777777" w:rsidR="00367E91" w:rsidRDefault="002B0324">
            <w:pPr>
              <w:keepNext/>
              <w:keepLines/>
              <w:spacing w:after="0" w:line="240" w:lineRule="auto"/>
            </w:pPr>
            <w:r>
              <w:rPr>
                <w:sz w:val="18"/>
              </w:rPr>
              <w:t>022 i 02922</w:t>
            </w:r>
          </w:p>
        </w:tc>
        <w:tc>
          <w:tcPr>
            <w:tcW w:w="3180" w:type="dxa"/>
            <w:tcMar>
              <w:top w:w="0" w:type="dxa"/>
              <w:bottom w:w="0" w:type="dxa"/>
            </w:tcMar>
            <w:vAlign w:val="center"/>
          </w:tcPr>
          <w:p w14:paraId="2EE1CEE7" w14:textId="77777777" w:rsidR="00367E91" w:rsidRDefault="002B0324">
            <w:pPr>
              <w:keepNext/>
              <w:keepLines/>
              <w:spacing w:after="0" w:line="240" w:lineRule="auto"/>
            </w:pPr>
            <w:r>
              <w:rPr>
                <w:sz w:val="18"/>
              </w:rPr>
              <w:t>Postrojenja i oprema (šifre 0221 do 0228 - 02922)</w:t>
            </w:r>
          </w:p>
        </w:tc>
        <w:tc>
          <w:tcPr>
            <w:tcW w:w="700" w:type="dxa"/>
            <w:tcMar>
              <w:top w:w="0" w:type="dxa"/>
              <w:bottom w:w="0" w:type="dxa"/>
            </w:tcMar>
            <w:vAlign w:val="center"/>
          </w:tcPr>
          <w:p w14:paraId="27CB3435" w14:textId="77777777" w:rsidR="00367E91" w:rsidRDefault="002B0324">
            <w:pPr>
              <w:keepNext/>
              <w:keepLines/>
              <w:spacing w:after="0" w:line="240" w:lineRule="auto"/>
            </w:pPr>
            <w:r>
              <w:rPr>
                <w:sz w:val="18"/>
              </w:rPr>
              <w:t>022 i 02922</w:t>
            </w:r>
          </w:p>
        </w:tc>
        <w:tc>
          <w:tcPr>
            <w:tcW w:w="1860" w:type="dxa"/>
            <w:tcMar>
              <w:top w:w="0" w:type="dxa"/>
              <w:bottom w:w="0" w:type="dxa"/>
            </w:tcMar>
            <w:vAlign w:val="center"/>
          </w:tcPr>
          <w:p w14:paraId="399EA940" w14:textId="77777777" w:rsidR="00367E91" w:rsidRDefault="002B0324">
            <w:pPr>
              <w:keepNext/>
              <w:keepLines/>
              <w:spacing w:after="0" w:line="240" w:lineRule="auto"/>
              <w:jc w:val="right"/>
            </w:pPr>
            <w:r>
              <w:rPr>
                <w:sz w:val="18"/>
              </w:rPr>
              <w:t>68.178,51</w:t>
            </w:r>
          </w:p>
        </w:tc>
        <w:tc>
          <w:tcPr>
            <w:tcW w:w="1860" w:type="dxa"/>
            <w:tcMar>
              <w:top w:w="0" w:type="dxa"/>
              <w:bottom w:w="0" w:type="dxa"/>
            </w:tcMar>
            <w:vAlign w:val="center"/>
          </w:tcPr>
          <w:p w14:paraId="16CFC77B" w14:textId="77777777" w:rsidR="00367E91" w:rsidRDefault="002B0324">
            <w:pPr>
              <w:keepNext/>
              <w:keepLines/>
              <w:spacing w:after="0" w:line="240" w:lineRule="auto"/>
              <w:jc w:val="right"/>
            </w:pPr>
            <w:r>
              <w:rPr>
                <w:sz w:val="18"/>
              </w:rPr>
              <w:t>60.344,43</w:t>
            </w:r>
          </w:p>
        </w:tc>
        <w:tc>
          <w:tcPr>
            <w:tcW w:w="700" w:type="dxa"/>
            <w:tcMar>
              <w:top w:w="0" w:type="dxa"/>
              <w:bottom w:w="0" w:type="dxa"/>
            </w:tcMar>
            <w:vAlign w:val="center"/>
          </w:tcPr>
          <w:p w14:paraId="3C247B3F" w14:textId="77777777" w:rsidR="00367E91" w:rsidRDefault="002B0324">
            <w:pPr>
              <w:keepNext/>
              <w:keepLines/>
              <w:spacing w:after="0" w:line="240" w:lineRule="auto"/>
              <w:jc w:val="right"/>
            </w:pPr>
            <w:r>
              <w:rPr>
                <w:sz w:val="18"/>
              </w:rPr>
              <w:t>88,5</w:t>
            </w:r>
          </w:p>
        </w:tc>
      </w:tr>
    </w:tbl>
    <w:p w14:paraId="2D524A83" w14:textId="77777777" w:rsidR="00367E91" w:rsidRDefault="00367E91">
      <w:pPr>
        <w:spacing w:after="0"/>
      </w:pPr>
    </w:p>
    <w:p w14:paraId="49014B85" w14:textId="77777777" w:rsidR="00367E91" w:rsidRDefault="002B0324">
      <w:r>
        <w:t>rashodovana je i isknjižena neispravna i pokidana oprema odvežena i ekološki zbrinuta u 2025. godini u vrijednosti 149.308,25 euro; ispravak vrijednosti opreme izvršen sukladno propisanim stopama u Pravilniku o proračunskom računovodstvu i računskom planu;</w:t>
      </w:r>
      <w:r>
        <w:t xml:space="preserve"> izvršena usklada sa stvarnim stanjem.</w:t>
      </w:r>
    </w:p>
    <w:p w14:paraId="51BB158A" w14:textId="77777777" w:rsidR="00367E91" w:rsidRDefault="00367E91"/>
    <w:p w14:paraId="11364260" w14:textId="77777777" w:rsidR="00367E91" w:rsidRDefault="002B0324">
      <w:pPr>
        <w:keepNext/>
        <w:spacing w:line="240" w:lineRule="auto"/>
        <w:jc w:val="center"/>
      </w:pPr>
      <w:r>
        <w:rPr>
          <w:sz w:val="28"/>
        </w:rPr>
        <w:lastRenderedPageBreak/>
        <w:t>Bilješka 48.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367E91" w14:paraId="3D485DC4"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99D1E49" w14:textId="77777777" w:rsidR="00367E91" w:rsidRDefault="002B0324">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4B9FC650" w14:textId="77777777" w:rsidR="00367E91" w:rsidRDefault="002B0324">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B87C533" w14:textId="77777777" w:rsidR="00367E91" w:rsidRDefault="002B0324">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2A52313" w14:textId="77777777" w:rsidR="00367E91" w:rsidRDefault="002B0324">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043F58D0" w14:textId="77777777" w:rsidR="00367E91" w:rsidRDefault="002B0324">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0D3ECCED" w14:textId="77777777" w:rsidR="00367E91" w:rsidRDefault="002B0324">
            <w:pPr>
              <w:keepNext/>
              <w:keepLines/>
              <w:spacing w:after="0" w:line="240" w:lineRule="auto"/>
              <w:jc w:val="center"/>
            </w:pPr>
            <w:r>
              <w:rPr>
                <w:b/>
                <w:sz w:val="18"/>
              </w:rPr>
              <w:t>Indeks (%)</w:t>
            </w:r>
          </w:p>
        </w:tc>
      </w:tr>
      <w:tr w:rsidR="00367E91" w14:paraId="677D4301" w14:textId="77777777">
        <w:tblPrEx>
          <w:tblCellMar>
            <w:top w:w="0" w:type="dxa"/>
            <w:bottom w:w="0" w:type="dxa"/>
          </w:tblCellMar>
        </w:tblPrEx>
        <w:trPr>
          <w:cantSplit/>
          <w:trHeight w:val="560"/>
        </w:trPr>
        <w:tc>
          <w:tcPr>
            <w:tcW w:w="700" w:type="dxa"/>
            <w:tcMar>
              <w:top w:w="0" w:type="dxa"/>
              <w:bottom w:w="0" w:type="dxa"/>
            </w:tcMar>
            <w:vAlign w:val="center"/>
          </w:tcPr>
          <w:p w14:paraId="1C41EE7D" w14:textId="77777777" w:rsidR="00367E91" w:rsidRDefault="002B0324">
            <w:pPr>
              <w:keepNext/>
              <w:keepLines/>
              <w:spacing w:after="0" w:line="240" w:lineRule="auto"/>
            </w:pPr>
            <w:r>
              <w:rPr>
                <w:sz w:val="18"/>
              </w:rPr>
              <w:t>024 i 02924</w:t>
            </w:r>
          </w:p>
        </w:tc>
        <w:tc>
          <w:tcPr>
            <w:tcW w:w="3180" w:type="dxa"/>
            <w:tcMar>
              <w:top w:w="0" w:type="dxa"/>
              <w:bottom w:w="0" w:type="dxa"/>
            </w:tcMar>
            <w:vAlign w:val="center"/>
          </w:tcPr>
          <w:p w14:paraId="2866F36C" w14:textId="77777777" w:rsidR="00367E91" w:rsidRDefault="002B0324">
            <w:pPr>
              <w:keepNext/>
              <w:keepLines/>
              <w:spacing w:after="0" w:line="240" w:lineRule="auto"/>
            </w:pPr>
            <w:r>
              <w:rPr>
                <w:sz w:val="18"/>
              </w:rPr>
              <w:t>Knjige, umjetnička djela i ostale izložbene vrijednosti (šifre 0241 do 0244 - 02924)</w:t>
            </w:r>
          </w:p>
        </w:tc>
        <w:tc>
          <w:tcPr>
            <w:tcW w:w="700" w:type="dxa"/>
            <w:tcMar>
              <w:top w:w="0" w:type="dxa"/>
              <w:bottom w:w="0" w:type="dxa"/>
            </w:tcMar>
            <w:vAlign w:val="center"/>
          </w:tcPr>
          <w:p w14:paraId="1095510D" w14:textId="77777777" w:rsidR="00367E91" w:rsidRDefault="002B0324">
            <w:pPr>
              <w:keepNext/>
              <w:keepLines/>
              <w:spacing w:after="0" w:line="240" w:lineRule="auto"/>
            </w:pPr>
            <w:r>
              <w:rPr>
                <w:sz w:val="18"/>
              </w:rPr>
              <w:t>024 i 02924</w:t>
            </w:r>
          </w:p>
        </w:tc>
        <w:tc>
          <w:tcPr>
            <w:tcW w:w="1860" w:type="dxa"/>
            <w:tcMar>
              <w:top w:w="0" w:type="dxa"/>
              <w:bottom w:w="0" w:type="dxa"/>
            </w:tcMar>
            <w:vAlign w:val="center"/>
          </w:tcPr>
          <w:p w14:paraId="4B5318E5" w14:textId="77777777" w:rsidR="00367E91" w:rsidRDefault="002B0324">
            <w:pPr>
              <w:keepNext/>
              <w:keepLines/>
              <w:spacing w:after="0" w:line="240" w:lineRule="auto"/>
              <w:jc w:val="right"/>
            </w:pPr>
            <w:r>
              <w:rPr>
                <w:sz w:val="18"/>
              </w:rPr>
              <w:t>73.710,81</w:t>
            </w:r>
          </w:p>
        </w:tc>
        <w:tc>
          <w:tcPr>
            <w:tcW w:w="1860" w:type="dxa"/>
            <w:tcMar>
              <w:top w:w="0" w:type="dxa"/>
              <w:bottom w:w="0" w:type="dxa"/>
            </w:tcMar>
            <w:vAlign w:val="center"/>
          </w:tcPr>
          <w:p w14:paraId="4DEED35F" w14:textId="77777777" w:rsidR="00367E91" w:rsidRDefault="002B0324">
            <w:pPr>
              <w:keepNext/>
              <w:keepLines/>
              <w:spacing w:after="0" w:line="240" w:lineRule="auto"/>
              <w:jc w:val="right"/>
            </w:pPr>
            <w:r>
              <w:rPr>
                <w:sz w:val="18"/>
              </w:rPr>
              <w:t>68.106,66</w:t>
            </w:r>
          </w:p>
        </w:tc>
        <w:tc>
          <w:tcPr>
            <w:tcW w:w="700" w:type="dxa"/>
            <w:tcMar>
              <w:top w:w="0" w:type="dxa"/>
              <w:bottom w:w="0" w:type="dxa"/>
            </w:tcMar>
            <w:vAlign w:val="center"/>
          </w:tcPr>
          <w:p w14:paraId="5E2FB69B" w14:textId="77777777" w:rsidR="00367E91" w:rsidRDefault="002B0324">
            <w:pPr>
              <w:keepNext/>
              <w:keepLines/>
              <w:spacing w:after="0" w:line="240" w:lineRule="auto"/>
              <w:jc w:val="right"/>
            </w:pPr>
            <w:r>
              <w:rPr>
                <w:sz w:val="18"/>
              </w:rPr>
              <w:t>92,4</w:t>
            </w:r>
          </w:p>
        </w:tc>
      </w:tr>
    </w:tbl>
    <w:p w14:paraId="4B807061" w14:textId="77777777" w:rsidR="00367E91" w:rsidRDefault="00367E91">
      <w:pPr>
        <w:spacing w:after="0"/>
      </w:pPr>
    </w:p>
    <w:p w14:paraId="19640C1D" w14:textId="77777777" w:rsidR="00367E91" w:rsidRDefault="002B0324">
      <w:r>
        <w:t>Uz kupljene, u Knjižnicu su primljene knjige na dar procijenjene ukupne vrijednosti 8.025,00 eura. Korigirano je upisano početno stanje  iz razloga što je uočeno neujednačeno upisivanje vrijednosti u  analitiku- tablicu stvarnog stanja knjiga u knjižnici z</w:t>
      </w:r>
      <w:r>
        <w:t xml:space="preserve">a upisane vrijednosti od 1989. do 1993. godine. Korekcija je izvršena  na način da je iz knjigovodstvo isknjižena razlika  u nabavnoj  i ispravku vrijednosti (257.847,37 eura ). Izvršen je  ispravak vrijednosti postojećih i novonabavljenih knjiga sukladno </w:t>
      </w:r>
      <w:r>
        <w:t>propisanoj stopi ispravka vrijednosti . Posebno su izdvojene e-knjige. </w:t>
      </w:r>
    </w:p>
    <w:p w14:paraId="2E3163F7" w14:textId="77777777" w:rsidR="00367E91" w:rsidRDefault="00367E91"/>
    <w:p w14:paraId="37D4D3BF" w14:textId="77777777" w:rsidR="00367E91" w:rsidRDefault="002B0324">
      <w:pPr>
        <w:keepNext/>
        <w:spacing w:line="240" w:lineRule="auto"/>
        <w:jc w:val="center"/>
      </w:pPr>
      <w:r>
        <w:rPr>
          <w:sz w:val="28"/>
        </w:rPr>
        <w:t>Bilješka 49.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367E91" w14:paraId="5904E866"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ACC1821" w14:textId="77777777" w:rsidR="00367E91" w:rsidRDefault="002B0324">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02C6B0B7" w14:textId="77777777" w:rsidR="00367E91" w:rsidRDefault="002B0324">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B760060" w14:textId="77777777" w:rsidR="00367E91" w:rsidRDefault="002B0324">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8F91695" w14:textId="77777777" w:rsidR="00367E91" w:rsidRDefault="002B0324">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26E402FC" w14:textId="77777777" w:rsidR="00367E91" w:rsidRDefault="002B0324">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14534183" w14:textId="77777777" w:rsidR="00367E91" w:rsidRDefault="002B0324">
            <w:pPr>
              <w:keepNext/>
              <w:keepLines/>
              <w:spacing w:after="0" w:line="240" w:lineRule="auto"/>
              <w:jc w:val="center"/>
            </w:pPr>
            <w:r>
              <w:rPr>
                <w:b/>
                <w:sz w:val="18"/>
              </w:rPr>
              <w:t>Indeks (%)</w:t>
            </w:r>
          </w:p>
        </w:tc>
      </w:tr>
      <w:tr w:rsidR="00367E91" w14:paraId="1CA524B9" w14:textId="77777777">
        <w:tblPrEx>
          <w:tblCellMar>
            <w:top w:w="0" w:type="dxa"/>
            <w:bottom w:w="0" w:type="dxa"/>
          </w:tblCellMar>
        </w:tblPrEx>
        <w:trPr>
          <w:cantSplit/>
          <w:trHeight w:val="560"/>
        </w:trPr>
        <w:tc>
          <w:tcPr>
            <w:tcW w:w="700" w:type="dxa"/>
            <w:tcMar>
              <w:top w:w="0" w:type="dxa"/>
              <w:bottom w:w="0" w:type="dxa"/>
            </w:tcMar>
            <w:vAlign w:val="center"/>
          </w:tcPr>
          <w:p w14:paraId="2C547888" w14:textId="77777777" w:rsidR="00367E91" w:rsidRDefault="002B0324">
            <w:pPr>
              <w:keepNext/>
              <w:keepLines/>
              <w:spacing w:after="0" w:line="240" w:lineRule="auto"/>
            </w:pPr>
            <w:r>
              <w:rPr>
                <w:sz w:val="18"/>
              </w:rPr>
              <w:t>123</w:t>
            </w:r>
          </w:p>
        </w:tc>
        <w:tc>
          <w:tcPr>
            <w:tcW w:w="3180" w:type="dxa"/>
            <w:tcMar>
              <w:top w:w="0" w:type="dxa"/>
              <w:bottom w:w="0" w:type="dxa"/>
            </w:tcMar>
            <w:vAlign w:val="center"/>
          </w:tcPr>
          <w:p w14:paraId="3FA0CD54" w14:textId="77777777" w:rsidR="00367E91" w:rsidRDefault="002B0324">
            <w:pPr>
              <w:keepNext/>
              <w:keepLines/>
              <w:spacing w:after="0" w:line="240" w:lineRule="auto"/>
            </w:pPr>
            <w:r>
              <w:rPr>
                <w:sz w:val="18"/>
              </w:rPr>
              <w:t>Potraživanja od zaposlenih</w:t>
            </w:r>
          </w:p>
        </w:tc>
        <w:tc>
          <w:tcPr>
            <w:tcW w:w="700" w:type="dxa"/>
            <w:tcMar>
              <w:top w:w="0" w:type="dxa"/>
              <w:bottom w:w="0" w:type="dxa"/>
            </w:tcMar>
            <w:vAlign w:val="center"/>
          </w:tcPr>
          <w:p w14:paraId="16F1D3C7" w14:textId="77777777" w:rsidR="00367E91" w:rsidRDefault="002B0324">
            <w:pPr>
              <w:keepNext/>
              <w:keepLines/>
              <w:spacing w:after="0" w:line="240" w:lineRule="auto"/>
            </w:pPr>
            <w:r>
              <w:rPr>
                <w:sz w:val="18"/>
              </w:rPr>
              <w:t>123</w:t>
            </w:r>
          </w:p>
        </w:tc>
        <w:tc>
          <w:tcPr>
            <w:tcW w:w="1860" w:type="dxa"/>
            <w:tcMar>
              <w:top w:w="0" w:type="dxa"/>
              <w:bottom w:w="0" w:type="dxa"/>
            </w:tcMar>
            <w:vAlign w:val="center"/>
          </w:tcPr>
          <w:p w14:paraId="56563EFA" w14:textId="77777777" w:rsidR="00367E91" w:rsidRDefault="002B0324">
            <w:pPr>
              <w:keepNext/>
              <w:keepLines/>
              <w:spacing w:after="0" w:line="240" w:lineRule="auto"/>
              <w:jc w:val="right"/>
            </w:pPr>
            <w:r>
              <w:rPr>
                <w:sz w:val="18"/>
              </w:rPr>
              <w:t>1.566,16</w:t>
            </w:r>
          </w:p>
        </w:tc>
        <w:tc>
          <w:tcPr>
            <w:tcW w:w="1860" w:type="dxa"/>
            <w:tcMar>
              <w:top w:w="0" w:type="dxa"/>
              <w:bottom w:w="0" w:type="dxa"/>
            </w:tcMar>
            <w:vAlign w:val="center"/>
          </w:tcPr>
          <w:p w14:paraId="45BAD3D0" w14:textId="77777777" w:rsidR="00367E91" w:rsidRDefault="002B0324">
            <w:pPr>
              <w:keepNext/>
              <w:keepLines/>
              <w:spacing w:after="0" w:line="240" w:lineRule="auto"/>
              <w:jc w:val="right"/>
            </w:pPr>
            <w:r>
              <w:rPr>
                <w:sz w:val="18"/>
              </w:rPr>
              <w:t>2.751,94</w:t>
            </w:r>
          </w:p>
        </w:tc>
        <w:tc>
          <w:tcPr>
            <w:tcW w:w="700" w:type="dxa"/>
            <w:tcMar>
              <w:top w:w="0" w:type="dxa"/>
              <w:bottom w:w="0" w:type="dxa"/>
            </w:tcMar>
            <w:vAlign w:val="center"/>
          </w:tcPr>
          <w:p w14:paraId="2B5CA7FB" w14:textId="77777777" w:rsidR="00367E91" w:rsidRDefault="002B0324">
            <w:pPr>
              <w:keepNext/>
              <w:keepLines/>
              <w:spacing w:after="0" w:line="240" w:lineRule="auto"/>
              <w:jc w:val="right"/>
            </w:pPr>
            <w:r>
              <w:rPr>
                <w:sz w:val="18"/>
              </w:rPr>
              <w:t>175,7</w:t>
            </w:r>
          </w:p>
        </w:tc>
      </w:tr>
    </w:tbl>
    <w:p w14:paraId="067E8D33" w14:textId="77777777" w:rsidR="00367E91" w:rsidRDefault="00367E91">
      <w:pPr>
        <w:spacing w:after="0"/>
      </w:pPr>
    </w:p>
    <w:p w14:paraId="3FFB95A6" w14:textId="77777777" w:rsidR="00367E91" w:rsidRDefault="002B0324">
      <w:r>
        <w:t>potraživanje za isplaćeni predujam za Erasmus+ mobilnost (1.008,80 eura), plaćena edukacija (250,00 eura), plaćene godišnje karte gradskog prijevoza na posao i s posla za 2026. godinu (1.493,14 eura) što se Fakultetu uplaćuje u siječnju 2026. godine</w:t>
      </w:r>
    </w:p>
    <w:p w14:paraId="31A8DD05" w14:textId="77777777" w:rsidR="00367E91" w:rsidRDefault="00367E91"/>
    <w:p w14:paraId="3633C8E2" w14:textId="77777777" w:rsidR="00367E91" w:rsidRDefault="002B0324">
      <w:pPr>
        <w:keepNext/>
        <w:spacing w:line="240" w:lineRule="auto"/>
        <w:jc w:val="center"/>
      </w:pPr>
      <w:r>
        <w:rPr>
          <w:sz w:val="28"/>
        </w:rPr>
        <w:t>Bilje</w:t>
      </w:r>
      <w:r>
        <w:rPr>
          <w:sz w:val="28"/>
        </w:rPr>
        <w:t>ška 50.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367E91" w14:paraId="34B41703"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BAE4530" w14:textId="77777777" w:rsidR="00367E91" w:rsidRDefault="002B0324">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67A14064" w14:textId="77777777" w:rsidR="00367E91" w:rsidRDefault="002B0324">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0302335" w14:textId="77777777" w:rsidR="00367E91" w:rsidRDefault="002B0324">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1C36ACA" w14:textId="77777777" w:rsidR="00367E91" w:rsidRDefault="002B0324">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00E4AC9D" w14:textId="77777777" w:rsidR="00367E91" w:rsidRDefault="002B0324">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5FBEC5B8" w14:textId="77777777" w:rsidR="00367E91" w:rsidRDefault="002B0324">
            <w:pPr>
              <w:keepNext/>
              <w:keepLines/>
              <w:spacing w:after="0" w:line="240" w:lineRule="auto"/>
              <w:jc w:val="center"/>
            </w:pPr>
            <w:r>
              <w:rPr>
                <w:b/>
                <w:sz w:val="18"/>
              </w:rPr>
              <w:t>Indeks (%)</w:t>
            </w:r>
          </w:p>
        </w:tc>
      </w:tr>
      <w:tr w:rsidR="00367E91" w14:paraId="40962567" w14:textId="77777777">
        <w:tblPrEx>
          <w:tblCellMar>
            <w:top w:w="0" w:type="dxa"/>
            <w:bottom w:w="0" w:type="dxa"/>
          </w:tblCellMar>
        </w:tblPrEx>
        <w:trPr>
          <w:cantSplit/>
          <w:trHeight w:val="560"/>
        </w:trPr>
        <w:tc>
          <w:tcPr>
            <w:tcW w:w="700" w:type="dxa"/>
            <w:tcMar>
              <w:top w:w="0" w:type="dxa"/>
              <w:bottom w:w="0" w:type="dxa"/>
            </w:tcMar>
            <w:vAlign w:val="center"/>
          </w:tcPr>
          <w:p w14:paraId="7BE393FF" w14:textId="77777777" w:rsidR="00367E91" w:rsidRDefault="002B0324">
            <w:pPr>
              <w:keepNext/>
              <w:keepLines/>
              <w:spacing w:after="0" w:line="240" w:lineRule="auto"/>
            </w:pPr>
            <w:r>
              <w:rPr>
                <w:sz w:val="18"/>
              </w:rPr>
              <w:t>129</w:t>
            </w:r>
          </w:p>
        </w:tc>
        <w:tc>
          <w:tcPr>
            <w:tcW w:w="3180" w:type="dxa"/>
            <w:tcMar>
              <w:top w:w="0" w:type="dxa"/>
              <w:bottom w:w="0" w:type="dxa"/>
            </w:tcMar>
            <w:vAlign w:val="center"/>
          </w:tcPr>
          <w:p w14:paraId="64B18988" w14:textId="77777777" w:rsidR="00367E91" w:rsidRDefault="002B0324">
            <w:pPr>
              <w:keepNext/>
              <w:keepLines/>
              <w:spacing w:after="0" w:line="240" w:lineRule="auto"/>
            </w:pPr>
            <w:r>
              <w:rPr>
                <w:sz w:val="18"/>
              </w:rPr>
              <w:t>Ostala potraživanja</w:t>
            </w:r>
          </w:p>
        </w:tc>
        <w:tc>
          <w:tcPr>
            <w:tcW w:w="700" w:type="dxa"/>
            <w:tcMar>
              <w:top w:w="0" w:type="dxa"/>
              <w:bottom w:w="0" w:type="dxa"/>
            </w:tcMar>
            <w:vAlign w:val="center"/>
          </w:tcPr>
          <w:p w14:paraId="09F615D4" w14:textId="77777777" w:rsidR="00367E91" w:rsidRDefault="002B0324">
            <w:pPr>
              <w:keepNext/>
              <w:keepLines/>
              <w:spacing w:after="0" w:line="240" w:lineRule="auto"/>
            </w:pPr>
            <w:r>
              <w:rPr>
                <w:sz w:val="18"/>
              </w:rPr>
              <w:t>129</w:t>
            </w:r>
          </w:p>
        </w:tc>
        <w:tc>
          <w:tcPr>
            <w:tcW w:w="1860" w:type="dxa"/>
            <w:tcMar>
              <w:top w:w="0" w:type="dxa"/>
              <w:bottom w:w="0" w:type="dxa"/>
            </w:tcMar>
            <w:vAlign w:val="center"/>
          </w:tcPr>
          <w:p w14:paraId="40B01D50" w14:textId="77777777" w:rsidR="00367E91" w:rsidRDefault="002B0324">
            <w:pPr>
              <w:keepNext/>
              <w:keepLines/>
              <w:spacing w:after="0" w:line="240" w:lineRule="auto"/>
              <w:jc w:val="right"/>
            </w:pPr>
            <w:r>
              <w:rPr>
                <w:sz w:val="18"/>
              </w:rPr>
              <w:t>1.270,01</w:t>
            </w:r>
          </w:p>
        </w:tc>
        <w:tc>
          <w:tcPr>
            <w:tcW w:w="1860" w:type="dxa"/>
            <w:tcMar>
              <w:top w:w="0" w:type="dxa"/>
              <w:bottom w:w="0" w:type="dxa"/>
            </w:tcMar>
            <w:vAlign w:val="center"/>
          </w:tcPr>
          <w:p w14:paraId="3F6161DA" w14:textId="77777777" w:rsidR="00367E91" w:rsidRDefault="002B0324">
            <w:pPr>
              <w:keepNext/>
              <w:keepLines/>
              <w:spacing w:after="0" w:line="240" w:lineRule="auto"/>
              <w:jc w:val="right"/>
            </w:pPr>
            <w:r>
              <w:rPr>
                <w:sz w:val="18"/>
              </w:rPr>
              <w:t>936,53</w:t>
            </w:r>
          </w:p>
        </w:tc>
        <w:tc>
          <w:tcPr>
            <w:tcW w:w="700" w:type="dxa"/>
            <w:tcMar>
              <w:top w:w="0" w:type="dxa"/>
              <w:bottom w:w="0" w:type="dxa"/>
            </w:tcMar>
            <w:vAlign w:val="center"/>
          </w:tcPr>
          <w:p w14:paraId="15F3AF3B" w14:textId="77777777" w:rsidR="00367E91" w:rsidRDefault="002B0324">
            <w:pPr>
              <w:keepNext/>
              <w:keepLines/>
              <w:spacing w:after="0" w:line="240" w:lineRule="auto"/>
              <w:jc w:val="right"/>
            </w:pPr>
            <w:r>
              <w:rPr>
                <w:sz w:val="18"/>
              </w:rPr>
              <w:t>73,7</w:t>
            </w:r>
          </w:p>
        </w:tc>
      </w:tr>
    </w:tbl>
    <w:p w14:paraId="5B25B862" w14:textId="77777777" w:rsidR="00367E91" w:rsidRDefault="00367E91">
      <w:pPr>
        <w:spacing w:after="0"/>
      </w:pPr>
    </w:p>
    <w:p w14:paraId="511F6AE1" w14:textId="77777777" w:rsidR="00367E91" w:rsidRDefault="002B0324">
      <w:r>
        <w:t>potraživanje za unaprijed plaćene ENC uređaje za iznos koji nije utrošen u 2024. godini  (445,46 eura); potraživanje za predujam  dobavljaču (408,12 eura) te više plaćen iznos dobavljaču (82,95 eura) što je vraćeno u siječnju 2026. godine</w:t>
      </w:r>
    </w:p>
    <w:p w14:paraId="3D542D6E" w14:textId="77777777" w:rsidR="00367E91" w:rsidRDefault="00367E91"/>
    <w:p w14:paraId="615F99D1" w14:textId="77777777" w:rsidR="00367E91" w:rsidRDefault="002B0324">
      <w:pPr>
        <w:keepNext/>
        <w:spacing w:line="240" w:lineRule="auto"/>
        <w:jc w:val="center"/>
      </w:pPr>
      <w:r>
        <w:rPr>
          <w:sz w:val="28"/>
        </w:rPr>
        <w:lastRenderedPageBreak/>
        <w:t>Bilješka 51.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367E91" w14:paraId="0015A4D5"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B9CE45B" w14:textId="77777777" w:rsidR="00367E91" w:rsidRDefault="002B0324">
            <w:pPr>
              <w:keepNext/>
              <w:keepLines/>
              <w:spacing w:after="0" w:line="240" w:lineRule="auto"/>
              <w:jc w:val="center"/>
            </w:pPr>
            <w:r>
              <w:rPr>
                <w:b/>
                <w:sz w:val="18"/>
              </w:rPr>
              <w:t>Rač</w:t>
            </w:r>
            <w:r>
              <w:rPr>
                <w:b/>
                <w:sz w:val="18"/>
              </w:rPr>
              <w:t>un iz rač. plana</w:t>
            </w:r>
          </w:p>
        </w:tc>
        <w:tc>
          <w:tcPr>
            <w:tcW w:w="3180" w:type="dxa"/>
            <w:shd w:val="clear" w:color="auto" w:fill="E7F0F9"/>
            <w:tcMar>
              <w:top w:w="0" w:type="dxa"/>
              <w:bottom w:w="0" w:type="dxa"/>
            </w:tcMar>
            <w:vAlign w:val="center"/>
          </w:tcPr>
          <w:p w14:paraId="3CF15372" w14:textId="77777777" w:rsidR="00367E91" w:rsidRDefault="002B0324">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11B14D5" w14:textId="77777777" w:rsidR="00367E91" w:rsidRDefault="002B0324">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6FAEFBE" w14:textId="77777777" w:rsidR="00367E91" w:rsidRDefault="002B0324">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73CC26FC" w14:textId="77777777" w:rsidR="00367E91" w:rsidRDefault="002B0324">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7A007F04" w14:textId="77777777" w:rsidR="00367E91" w:rsidRDefault="002B0324">
            <w:pPr>
              <w:keepNext/>
              <w:keepLines/>
              <w:spacing w:after="0" w:line="240" w:lineRule="auto"/>
              <w:jc w:val="center"/>
            </w:pPr>
            <w:r>
              <w:rPr>
                <w:b/>
                <w:sz w:val="18"/>
              </w:rPr>
              <w:t>Indeks (%)</w:t>
            </w:r>
          </w:p>
        </w:tc>
      </w:tr>
      <w:tr w:rsidR="00367E91" w14:paraId="593A8C82" w14:textId="77777777">
        <w:tblPrEx>
          <w:tblCellMar>
            <w:top w:w="0" w:type="dxa"/>
            <w:bottom w:w="0" w:type="dxa"/>
          </w:tblCellMar>
        </w:tblPrEx>
        <w:trPr>
          <w:cantSplit/>
          <w:trHeight w:val="560"/>
        </w:trPr>
        <w:tc>
          <w:tcPr>
            <w:tcW w:w="700" w:type="dxa"/>
            <w:tcMar>
              <w:top w:w="0" w:type="dxa"/>
              <w:bottom w:w="0" w:type="dxa"/>
            </w:tcMar>
            <w:vAlign w:val="center"/>
          </w:tcPr>
          <w:p w14:paraId="596133E7" w14:textId="77777777" w:rsidR="00367E91" w:rsidRDefault="002B0324">
            <w:pPr>
              <w:keepNext/>
              <w:keepLines/>
              <w:spacing w:after="0" w:line="240" w:lineRule="auto"/>
            </w:pPr>
            <w:r>
              <w:rPr>
                <w:sz w:val="18"/>
              </w:rPr>
              <w:t>163</w:t>
            </w:r>
          </w:p>
        </w:tc>
        <w:tc>
          <w:tcPr>
            <w:tcW w:w="3180" w:type="dxa"/>
            <w:tcMar>
              <w:top w:w="0" w:type="dxa"/>
              <w:bottom w:w="0" w:type="dxa"/>
            </w:tcMar>
            <w:vAlign w:val="center"/>
          </w:tcPr>
          <w:p w14:paraId="01110B6D" w14:textId="77777777" w:rsidR="00367E91" w:rsidRDefault="002B0324">
            <w:pPr>
              <w:keepNext/>
              <w:keepLines/>
              <w:spacing w:after="0" w:line="240" w:lineRule="auto"/>
            </w:pPr>
            <w:r>
              <w:rPr>
                <w:sz w:val="18"/>
              </w:rPr>
              <w:t>Potraživanja za pomoći iz inozemstva i od subjekata unutar općeg proračuna (šifre 1631 do 1638)</w:t>
            </w:r>
          </w:p>
        </w:tc>
        <w:tc>
          <w:tcPr>
            <w:tcW w:w="700" w:type="dxa"/>
            <w:tcMar>
              <w:top w:w="0" w:type="dxa"/>
              <w:bottom w:w="0" w:type="dxa"/>
            </w:tcMar>
            <w:vAlign w:val="center"/>
          </w:tcPr>
          <w:p w14:paraId="05F001EF" w14:textId="77777777" w:rsidR="00367E91" w:rsidRDefault="002B0324">
            <w:pPr>
              <w:keepNext/>
              <w:keepLines/>
              <w:spacing w:after="0" w:line="240" w:lineRule="auto"/>
            </w:pPr>
            <w:r>
              <w:rPr>
                <w:sz w:val="18"/>
              </w:rPr>
              <w:t>163</w:t>
            </w:r>
          </w:p>
        </w:tc>
        <w:tc>
          <w:tcPr>
            <w:tcW w:w="1860" w:type="dxa"/>
            <w:tcMar>
              <w:top w:w="0" w:type="dxa"/>
              <w:bottom w:w="0" w:type="dxa"/>
            </w:tcMar>
            <w:vAlign w:val="center"/>
          </w:tcPr>
          <w:p w14:paraId="6386DD2E" w14:textId="77777777" w:rsidR="00367E91" w:rsidRDefault="002B0324">
            <w:pPr>
              <w:keepNext/>
              <w:keepLines/>
              <w:spacing w:after="0" w:line="240" w:lineRule="auto"/>
              <w:jc w:val="right"/>
            </w:pPr>
            <w:r>
              <w:rPr>
                <w:sz w:val="18"/>
              </w:rPr>
              <w:t>10.732,99</w:t>
            </w:r>
          </w:p>
        </w:tc>
        <w:tc>
          <w:tcPr>
            <w:tcW w:w="1860" w:type="dxa"/>
            <w:tcMar>
              <w:top w:w="0" w:type="dxa"/>
              <w:bottom w:w="0" w:type="dxa"/>
            </w:tcMar>
            <w:vAlign w:val="center"/>
          </w:tcPr>
          <w:p w14:paraId="47E00B41" w14:textId="77777777" w:rsidR="00367E91" w:rsidRDefault="002B0324">
            <w:pPr>
              <w:keepNext/>
              <w:keepLines/>
              <w:spacing w:after="0" w:line="240" w:lineRule="auto"/>
              <w:jc w:val="right"/>
            </w:pPr>
            <w:r>
              <w:rPr>
                <w:sz w:val="18"/>
              </w:rPr>
              <w:t>2.299,39</w:t>
            </w:r>
          </w:p>
        </w:tc>
        <w:tc>
          <w:tcPr>
            <w:tcW w:w="700" w:type="dxa"/>
            <w:tcMar>
              <w:top w:w="0" w:type="dxa"/>
              <w:bottom w:w="0" w:type="dxa"/>
            </w:tcMar>
            <w:vAlign w:val="center"/>
          </w:tcPr>
          <w:p w14:paraId="791C9985" w14:textId="77777777" w:rsidR="00367E91" w:rsidRDefault="002B0324">
            <w:pPr>
              <w:keepNext/>
              <w:keepLines/>
              <w:spacing w:after="0" w:line="240" w:lineRule="auto"/>
              <w:jc w:val="right"/>
            </w:pPr>
            <w:r>
              <w:rPr>
                <w:sz w:val="18"/>
              </w:rPr>
              <w:t>21,4</w:t>
            </w:r>
          </w:p>
        </w:tc>
      </w:tr>
    </w:tbl>
    <w:p w14:paraId="362D478C" w14:textId="77777777" w:rsidR="00367E91" w:rsidRDefault="00367E91">
      <w:pPr>
        <w:spacing w:after="0"/>
      </w:pPr>
    </w:p>
    <w:p w14:paraId="021E840E" w14:textId="77777777" w:rsidR="00367E91" w:rsidRDefault="002B0324">
      <w:r>
        <w:t>U 2024. početno stanje-upisano potraživanje za predfnanciranje rashoda iz sredstava Fakulteta na projektu Jean Monnet “South and East European Competition Law Centar of Excellence –COE“ u iznosu 10.732,99 eura doznačeno je u 2025. godini.; upisano je potra</w:t>
      </w:r>
      <w:r>
        <w:t>živanje za NPOO projekte 581-88 i 581-91 (u sklopu novih programskih ugovora) kojeg je Fakultet predfinancirao svojim namjenskim sredstvima (2.299,39 eura)</w:t>
      </w:r>
    </w:p>
    <w:p w14:paraId="67BCB76B" w14:textId="77777777" w:rsidR="00367E91" w:rsidRDefault="00367E91"/>
    <w:p w14:paraId="4DD575C4" w14:textId="77777777" w:rsidR="00367E91" w:rsidRDefault="002B0324">
      <w:pPr>
        <w:keepNext/>
        <w:spacing w:line="240" w:lineRule="auto"/>
        <w:jc w:val="center"/>
      </w:pPr>
      <w:r>
        <w:rPr>
          <w:sz w:val="28"/>
        </w:rPr>
        <w:t>Bilješka 52.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367E91" w14:paraId="4DE64B12"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113AE48" w14:textId="77777777" w:rsidR="00367E91" w:rsidRDefault="002B0324">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3B11BDF9" w14:textId="77777777" w:rsidR="00367E91" w:rsidRDefault="002B0324">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2B1CDAD" w14:textId="77777777" w:rsidR="00367E91" w:rsidRDefault="002B0324">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A2C45FA" w14:textId="77777777" w:rsidR="00367E91" w:rsidRDefault="002B0324">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3F8589BF" w14:textId="77777777" w:rsidR="00367E91" w:rsidRDefault="002B0324">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01023CE2" w14:textId="77777777" w:rsidR="00367E91" w:rsidRDefault="002B0324">
            <w:pPr>
              <w:keepNext/>
              <w:keepLines/>
              <w:spacing w:after="0" w:line="240" w:lineRule="auto"/>
              <w:jc w:val="center"/>
            </w:pPr>
            <w:r>
              <w:rPr>
                <w:b/>
                <w:sz w:val="18"/>
              </w:rPr>
              <w:t>Indeks (%</w:t>
            </w:r>
            <w:r>
              <w:rPr>
                <w:b/>
                <w:sz w:val="18"/>
              </w:rPr>
              <w:t>)</w:t>
            </w:r>
          </w:p>
        </w:tc>
      </w:tr>
      <w:tr w:rsidR="00367E91" w14:paraId="2BB4AB4D" w14:textId="77777777">
        <w:tblPrEx>
          <w:tblCellMar>
            <w:top w:w="0" w:type="dxa"/>
            <w:bottom w:w="0" w:type="dxa"/>
          </w:tblCellMar>
        </w:tblPrEx>
        <w:trPr>
          <w:cantSplit/>
          <w:trHeight w:val="560"/>
        </w:trPr>
        <w:tc>
          <w:tcPr>
            <w:tcW w:w="700" w:type="dxa"/>
            <w:tcMar>
              <w:top w:w="0" w:type="dxa"/>
              <w:bottom w:w="0" w:type="dxa"/>
            </w:tcMar>
            <w:vAlign w:val="center"/>
          </w:tcPr>
          <w:p w14:paraId="16DAC863" w14:textId="77777777" w:rsidR="00367E91" w:rsidRDefault="002B0324">
            <w:pPr>
              <w:keepNext/>
              <w:keepLines/>
              <w:spacing w:after="0" w:line="240" w:lineRule="auto"/>
            </w:pPr>
            <w:r>
              <w:rPr>
                <w:sz w:val="18"/>
              </w:rPr>
              <w:t>165</w:t>
            </w:r>
          </w:p>
        </w:tc>
        <w:tc>
          <w:tcPr>
            <w:tcW w:w="3180" w:type="dxa"/>
            <w:tcMar>
              <w:top w:w="0" w:type="dxa"/>
              <w:bottom w:w="0" w:type="dxa"/>
            </w:tcMar>
            <w:vAlign w:val="center"/>
          </w:tcPr>
          <w:p w14:paraId="62462A8C" w14:textId="77777777" w:rsidR="00367E91" w:rsidRDefault="002B0324">
            <w:pPr>
              <w:keepNext/>
              <w:keepLines/>
              <w:spacing w:after="0" w:line="240" w:lineRule="auto"/>
            </w:pPr>
            <w:r>
              <w:rPr>
                <w:sz w:val="18"/>
              </w:rPr>
              <w:t>Potraživanja za upravne i administrativne pristojbe, pristojbe po posebnim propisima i naknade</w:t>
            </w:r>
          </w:p>
        </w:tc>
        <w:tc>
          <w:tcPr>
            <w:tcW w:w="700" w:type="dxa"/>
            <w:tcMar>
              <w:top w:w="0" w:type="dxa"/>
              <w:bottom w:w="0" w:type="dxa"/>
            </w:tcMar>
            <w:vAlign w:val="center"/>
          </w:tcPr>
          <w:p w14:paraId="38DB199F" w14:textId="77777777" w:rsidR="00367E91" w:rsidRDefault="002B0324">
            <w:pPr>
              <w:keepNext/>
              <w:keepLines/>
              <w:spacing w:after="0" w:line="240" w:lineRule="auto"/>
            </w:pPr>
            <w:r>
              <w:rPr>
                <w:sz w:val="18"/>
              </w:rPr>
              <w:t>165</w:t>
            </w:r>
          </w:p>
        </w:tc>
        <w:tc>
          <w:tcPr>
            <w:tcW w:w="1860" w:type="dxa"/>
            <w:tcMar>
              <w:top w:w="0" w:type="dxa"/>
              <w:bottom w:w="0" w:type="dxa"/>
            </w:tcMar>
            <w:vAlign w:val="center"/>
          </w:tcPr>
          <w:p w14:paraId="4872BDA8" w14:textId="77777777" w:rsidR="00367E91" w:rsidRDefault="002B0324">
            <w:pPr>
              <w:keepNext/>
              <w:keepLines/>
              <w:spacing w:after="0" w:line="240" w:lineRule="auto"/>
              <w:jc w:val="right"/>
            </w:pPr>
            <w:r>
              <w:rPr>
                <w:sz w:val="18"/>
              </w:rPr>
              <w:t>80.814,86</w:t>
            </w:r>
          </w:p>
        </w:tc>
        <w:tc>
          <w:tcPr>
            <w:tcW w:w="1860" w:type="dxa"/>
            <w:tcMar>
              <w:top w:w="0" w:type="dxa"/>
              <w:bottom w:w="0" w:type="dxa"/>
            </w:tcMar>
            <w:vAlign w:val="center"/>
          </w:tcPr>
          <w:p w14:paraId="74E2A826" w14:textId="77777777" w:rsidR="00367E91" w:rsidRDefault="002B0324">
            <w:pPr>
              <w:keepNext/>
              <w:keepLines/>
              <w:spacing w:after="0" w:line="240" w:lineRule="auto"/>
              <w:jc w:val="right"/>
            </w:pPr>
            <w:r>
              <w:rPr>
                <w:sz w:val="18"/>
              </w:rPr>
              <w:t>267.524,01</w:t>
            </w:r>
          </w:p>
        </w:tc>
        <w:tc>
          <w:tcPr>
            <w:tcW w:w="700" w:type="dxa"/>
            <w:tcMar>
              <w:top w:w="0" w:type="dxa"/>
              <w:bottom w:w="0" w:type="dxa"/>
            </w:tcMar>
            <w:vAlign w:val="center"/>
          </w:tcPr>
          <w:p w14:paraId="3659BD01" w14:textId="77777777" w:rsidR="00367E91" w:rsidRDefault="002B0324">
            <w:pPr>
              <w:keepNext/>
              <w:keepLines/>
              <w:spacing w:after="0" w:line="240" w:lineRule="auto"/>
              <w:jc w:val="right"/>
            </w:pPr>
            <w:r>
              <w:rPr>
                <w:sz w:val="18"/>
              </w:rPr>
              <w:t>331,0</w:t>
            </w:r>
          </w:p>
        </w:tc>
      </w:tr>
    </w:tbl>
    <w:p w14:paraId="4D1C7DF1" w14:textId="77777777" w:rsidR="00367E91" w:rsidRDefault="00367E91">
      <w:pPr>
        <w:spacing w:after="0"/>
      </w:pPr>
    </w:p>
    <w:p w14:paraId="59185FA4" w14:textId="77777777" w:rsidR="00367E91" w:rsidRDefault="002B0324">
      <w:r>
        <w:t>značajno povećanje jer je upisano potraživanje za prihode sukladno Odluci o sufinanciranju rashoda zakupa za razdoblje listopad 2025. do rujn 2029. godine u ukupnom iznosu 180.000,00 eura; ostalo je potraživanje od studenata (81.581,51 euro)</w:t>
      </w:r>
    </w:p>
    <w:p w14:paraId="1719EF4C" w14:textId="77777777" w:rsidR="00367E91" w:rsidRDefault="00367E91"/>
    <w:p w14:paraId="58FDEC7B" w14:textId="77777777" w:rsidR="00367E91" w:rsidRDefault="002B0324">
      <w:pPr>
        <w:keepNext/>
        <w:spacing w:line="240" w:lineRule="auto"/>
        <w:jc w:val="center"/>
      </w:pPr>
      <w:r>
        <w:rPr>
          <w:sz w:val="28"/>
        </w:rPr>
        <w:t>Bilješka 53.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367E91" w14:paraId="74F6C8D2"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0661B87" w14:textId="77777777" w:rsidR="00367E91" w:rsidRDefault="002B0324">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083AD2A7" w14:textId="77777777" w:rsidR="00367E91" w:rsidRDefault="002B0324">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3B00484" w14:textId="77777777" w:rsidR="00367E91" w:rsidRDefault="002B0324">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2AA3078" w14:textId="77777777" w:rsidR="00367E91" w:rsidRDefault="002B0324">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76123060" w14:textId="77777777" w:rsidR="00367E91" w:rsidRDefault="002B0324">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32D6C956" w14:textId="77777777" w:rsidR="00367E91" w:rsidRDefault="002B0324">
            <w:pPr>
              <w:keepNext/>
              <w:keepLines/>
              <w:spacing w:after="0" w:line="240" w:lineRule="auto"/>
              <w:jc w:val="center"/>
            </w:pPr>
            <w:r>
              <w:rPr>
                <w:b/>
                <w:sz w:val="18"/>
              </w:rPr>
              <w:t>Indeks (%)</w:t>
            </w:r>
          </w:p>
        </w:tc>
      </w:tr>
      <w:tr w:rsidR="00367E91" w14:paraId="668AB760" w14:textId="77777777">
        <w:tblPrEx>
          <w:tblCellMar>
            <w:top w:w="0" w:type="dxa"/>
            <w:bottom w:w="0" w:type="dxa"/>
          </w:tblCellMar>
        </w:tblPrEx>
        <w:trPr>
          <w:cantSplit/>
          <w:trHeight w:val="560"/>
        </w:trPr>
        <w:tc>
          <w:tcPr>
            <w:tcW w:w="700" w:type="dxa"/>
            <w:tcMar>
              <w:top w:w="0" w:type="dxa"/>
              <w:bottom w:w="0" w:type="dxa"/>
            </w:tcMar>
            <w:vAlign w:val="center"/>
          </w:tcPr>
          <w:p w14:paraId="3A8325A9" w14:textId="77777777" w:rsidR="00367E91" w:rsidRDefault="002B0324">
            <w:pPr>
              <w:keepNext/>
              <w:keepLines/>
              <w:spacing w:after="0" w:line="240" w:lineRule="auto"/>
            </w:pPr>
            <w:r>
              <w:rPr>
                <w:sz w:val="18"/>
              </w:rPr>
              <w:t>193</w:t>
            </w:r>
          </w:p>
        </w:tc>
        <w:tc>
          <w:tcPr>
            <w:tcW w:w="3180" w:type="dxa"/>
            <w:tcMar>
              <w:top w:w="0" w:type="dxa"/>
              <w:bottom w:w="0" w:type="dxa"/>
            </w:tcMar>
            <w:vAlign w:val="center"/>
          </w:tcPr>
          <w:p w14:paraId="5448AA85" w14:textId="77777777" w:rsidR="00367E91" w:rsidRDefault="002B0324">
            <w:pPr>
              <w:keepNext/>
              <w:keepLines/>
              <w:spacing w:after="0" w:line="240" w:lineRule="auto"/>
            </w:pPr>
            <w:r>
              <w:rPr>
                <w:sz w:val="18"/>
              </w:rPr>
              <w:t>Kontinuirani rashodi budućih razdoblja</w:t>
            </w:r>
          </w:p>
        </w:tc>
        <w:tc>
          <w:tcPr>
            <w:tcW w:w="700" w:type="dxa"/>
            <w:tcMar>
              <w:top w:w="0" w:type="dxa"/>
              <w:bottom w:w="0" w:type="dxa"/>
            </w:tcMar>
            <w:vAlign w:val="center"/>
          </w:tcPr>
          <w:p w14:paraId="02C2A043" w14:textId="77777777" w:rsidR="00367E91" w:rsidRDefault="002B0324">
            <w:pPr>
              <w:keepNext/>
              <w:keepLines/>
              <w:spacing w:after="0" w:line="240" w:lineRule="auto"/>
            </w:pPr>
            <w:r>
              <w:rPr>
                <w:sz w:val="18"/>
              </w:rPr>
              <w:t>193</w:t>
            </w:r>
          </w:p>
        </w:tc>
        <w:tc>
          <w:tcPr>
            <w:tcW w:w="1860" w:type="dxa"/>
            <w:tcMar>
              <w:top w:w="0" w:type="dxa"/>
              <w:bottom w:w="0" w:type="dxa"/>
            </w:tcMar>
            <w:vAlign w:val="center"/>
          </w:tcPr>
          <w:p w14:paraId="7F8AEC0C" w14:textId="77777777" w:rsidR="00367E91" w:rsidRDefault="002B0324">
            <w:pPr>
              <w:keepNext/>
              <w:keepLines/>
              <w:spacing w:after="0" w:line="240" w:lineRule="auto"/>
              <w:jc w:val="right"/>
            </w:pPr>
            <w:r>
              <w:rPr>
                <w:sz w:val="18"/>
              </w:rPr>
              <w:t>384.811,31</w:t>
            </w:r>
          </w:p>
        </w:tc>
        <w:tc>
          <w:tcPr>
            <w:tcW w:w="1860" w:type="dxa"/>
            <w:tcMar>
              <w:top w:w="0" w:type="dxa"/>
              <w:bottom w:w="0" w:type="dxa"/>
            </w:tcMar>
            <w:vAlign w:val="center"/>
          </w:tcPr>
          <w:p w14:paraId="0F8E9408" w14:textId="77777777" w:rsidR="00367E91" w:rsidRDefault="002B0324">
            <w:pPr>
              <w:keepNext/>
              <w:keepLines/>
              <w:spacing w:after="0" w:line="240" w:lineRule="auto"/>
              <w:jc w:val="right"/>
            </w:pPr>
            <w:r>
              <w:rPr>
                <w:sz w:val="18"/>
              </w:rPr>
              <w:t>0,00</w:t>
            </w:r>
          </w:p>
        </w:tc>
        <w:tc>
          <w:tcPr>
            <w:tcW w:w="700" w:type="dxa"/>
            <w:tcMar>
              <w:top w:w="0" w:type="dxa"/>
              <w:bottom w:w="0" w:type="dxa"/>
            </w:tcMar>
            <w:vAlign w:val="center"/>
          </w:tcPr>
          <w:p w14:paraId="6BD1B146" w14:textId="77777777" w:rsidR="00367E91" w:rsidRDefault="002B0324">
            <w:pPr>
              <w:keepNext/>
              <w:keepLines/>
              <w:spacing w:after="0" w:line="240" w:lineRule="auto"/>
              <w:jc w:val="right"/>
            </w:pPr>
            <w:r>
              <w:rPr>
                <w:sz w:val="18"/>
              </w:rPr>
              <w:t>0</w:t>
            </w:r>
          </w:p>
        </w:tc>
      </w:tr>
    </w:tbl>
    <w:p w14:paraId="72A9BBE8" w14:textId="77777777" w:rsidR="00367E91" w:rsidRDefault="00367E91">
      <w:pPr>
        <w:spacing w:after="0"/>
      </w:pPr>
    </w:p>
    <w:p w14:paraId="749AB1E8" w14:textId="77777777" w:rsidR="00367E91" w:rsidRDefault="002B0324">
      <w:r>
        <w:t>U 2025. godini prma oredbama Pravilnika o proračunskom računovodstvu i Računskom planu ukinuta je podskupina 193 </w:t>
      </w:r>
    </w:p>
    <w:p w14:paraId="6DA81095" w14:textId="77777777" w:rsidR="00367E91" w:rsidRDefault="00367E91"/>
    <w:p w14:paraId="63911558" w14:textId="77777777" w:rsidR="00367E91" w:rsidRDefault="002B0324">
      <w:pPr>
        <w:keepNext/>
        <w:spacing w:line="240" w:lineRule="auto"/>
        <w:jc w:val="center"/>
      </w:pPr>
      <w:r>
        <w:rPr>
          <w:sz w:val="28"/>
        </w:rPr>
        <w:lastRenderedPageBreak/>
        <w:t>Bilješka 54.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367E91" w14:paraId="6D640AE9"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FECBC7D" w14:textId="77777777" w:rsidR="00367E91" w:rsidRDefault="002B0324">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4807FA5A" w14:textId="77777777" w:rsidR="00367E91" w:rsidRDefault="002B0324">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51C1A98" w14:textId="77777777" w:rsidR="00367E91" w:rsidRDefault="002B0324">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235397F" w14:textId="77777777" w:rsidR="00367E91" w:rsidRDefault="002B0324">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5EEB95C6" w14:textId="77777777" w:rsidR="00367E91" w:rsidRDefault="002B0324">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0EDDC891" w14:textId="77777777" w:rsidR="00367E91" w:rsidRDefault="002B0324">
            <w:pPr>
              <w:keepNext/>
              <w:keepLines/>
              <w:spacing w:after="0" w:line="240" w:lineRule="auto"/>
              <w:jc w:val="center"/>
            </w:pPr>
            <w:r>
              <w:rPr>
                <w:b/>
                <w:sz w:val="18"/>
              </w:rPr>
              <w:t>Indeks (%)</w:t>
            </w:r>
          </w:p>
        </w:tc>
      </w:tr>
      <w:tr w:rsidR="00367E91" w14:paraId="0D4CB525" w14:textId="77777777">
        <w:tblPrEx>
          <w:tblCellMar>
            <w:top w:w="0" w:type="dxa"/>
            <w:bottom w:w="0" w:type="dxa"/>
          </w:tblCellMar>
        </w:tblPrEx>
        <w:trPr>
          <w:cantSplit/>
          <w:trHeight w:val="560"/>
        </w:trPr>
        <w:tc>
          <w:tcPr>
            <w:tcW w:w="700" w:type="dxa"/>
            <w:tcMar>
              <w:top w:w="0" w:type="dxa"/>
              <w:bottom w:w="0" w:type="dxa"/>
            </w:tcMar>
            <w:vAlign w:val="center"/>
          </w:tcPr>
          <w:p w14:paraId="32037B3D" w14:textId="77777777" w:rsidR="00367E91" w:rsidRDefault="002B0324">
            <w:pPr>
              <w:keepNext/>
              <w:keepLines/>
              <w:spacing w:after="0" w:line="240" w:lineRule="auto"/>
            </w:pPr>
            <w:r>
              <w:rPr>
                <w:sz w:val="18"/>
              </w:rPr>
              <w:t>232</w:t>
            </w:r>
          </w:p>
        </w:tc>
        <w:tc>
          <w:tcPr>
            <w:tcW w:w="3180" w:type="dxa"/>
            <w:tcMar>
              <w:top w:w="0" w:type="dxa"/>
              <w:bottom w:w="0" w:type="dxa"/>
            </w:tcMar>
            <w:vAlign w:val="center"/>
          </w:tcPr>
          <w:p w14:paraId="4A9BB0E5" w14:textId="77777777" w:rsidR="00367E91" w:rsidRDefault="002B0324">
            <w:pPr>
              <w:keepNext/>
              <w:keepLines/>
              <w:spacing w:after="0" w:line="240" w:lineRule="auto"/>
            </w:pPr>
            <w:r>
              <w:rPr>
                <w:sz w:val="18"/>
              </w:rPr>
              <w:t xml:space="preserve">Obveze za materijalne </w:t>
            </w:r>
            <w:r>
              <w:rPr>
                <w:sz w:val="18"/>
              </w:rPr>
              <w:t>rashode</w:t>
            </w:r>
          </w:p>
        </w:tc>
        <w:tc>
          <w:tcPr>
            <w:tcW w:w="700" w:type="dxa"/>
            <w:tcMar>
              <w:top w:w="0" w:type="dxa"/>
              <w:bottom w:w="0" w:type="dxa"/>
            </w:tcMar>
            <w:vAlign w:val="center"/>
          </w:tcPr>
          <w:p w14:paraId="51DE23F2" w14:textId="77777777" w:rsidR="00367E91" w:rsidRDefault="002B0324">
            <w:pPr>
              <w:keepNext/>
              <w:keepLines/>
              <w:spacing w:after="0" w:line="240" w:lineRule="auto"/>
            </w:pPr>
            <w:r>
              <w:rPr>
                <w:sz w:val="18"/>
              </w:rPr>
              <w:t>232</w:t>
            </w:r>
          </w:p>
        </w:tc>
        <w:tc>
          <w:tcPr>
            <w:tcW w:w="1860" w:type="dxa"/>
            <w:tcMar>
              <w:top w:w="0" w:type="dxa"/>
              <w:bottom w:w="0" w:type="dxa"/>
            </w:tcMar>
            <w:vAlign w:val="center"/>
          </w:tcPr>
          <w:p w14:paraId="5215E430" w14:textId="77777777" w:rsidR="00367E91" w:rsidRDefault="002B0324">
            <w:pPr>
              <w:keepNext/>
              <w:keepLines/>
              <w:spacing w:after="0" w:line="240" w:lineRule="auto"/>
              <w:jc w:val="right"/>
            </w:pPr>
            <w:r>
              <w:rPr>
                <w:sz w:val="18"/>
              </w:rPr>
              <w:t>30.744,30</w:t>
            </w:r>
          </w:p>
        </w:tc>
        <w:tc>
          <w:tcPr>
            <w:tcW w:w="1860" w:type="dxa"/>
            <w:tcMar>
              <w:top w:w="0" w:type="dxa"/>
              <w:bottom w:w="0" w:type="dxa"/>
            </w:tcMar>
            <w:vAlign w:val="center"/>
          </w:tcPr>
          <w:p w14:paraId="2CDFE725" w14:textId="77777777" w:rsidR="00367E91" w:rsidRDefault="002B0324">
            <w:pPr>
              <w:keepNext/>
              <w:keepLines/>
              <w:spacing w:after="0" w:line="240" w:lineRule="auto"/>
              <w:jc w:val="right"/>
            </w:pPr>
            <w:r>
              <w:rPr>
                <w:sz w:val="18"/>
              </w:rPr>
              <w:t>37.803,95</w:t>
            </w:r>
          </w:p>
        </w:tc>
        <w:tc>
          <w:tcPr>
            <w:tcW w:w="700" w:type="dxa"/>
            <w:tcMar>
              <w:top w:w="0" w:type="dxa"/>
              <w:bottom w:w="0" w:type="dxa"/>
            </w:tcMar>
            <w:vAlign w:val="center"/>
          </w:tcPr>
          <w:p w14:paraId="24B34AE3" w14:textId="77777777" w:rsidR="00367E91" w:rsidRDefault="002B0324">
            <w:pPr>
              <w:keepNext/>
              <w:keepLines/>
              <w:spacing w:after="0" w:line="240" w:lineRule="auto"/>
              <w:jc w:val="right"/>
            </w:pPr>
            <w:r>
              <w:rPr>
                <w:sz w:val="18"/>
              </w:rPr>
              <w:t>123,0</w:t>
            </w:r>
          </w:p>
        </w:tc>
      </w:tr>
    </w:tbl>
    <w:p w14:paraId="52CDF547" w14:textId="77777777" w:rsidR="00367E91" w:rsidRDefault="00367E91">
      <w:pPr>
        <w:spacing w:after="0"/>
      </w:pPr>
    </w:p>
    <w:p w14:paraId="42477E68" w14:textId="77777777" w:rsidR="00367E91" w:rsidRDefault="002B0324">
      <w:r>
        <w:t>Računi dobavljača koji se odnose na 2025. a bit će plaćeni u 2026. godini;</w:t>
      </w:r>
    </w:p>
    <w:p w14:paraId="4BC93EE9" w14:textId="77777777" w:rsidR="00367E91" w:rsidRDefault="00367E91"/>
    <w:p w14:paraId="027F5667" w14:textId="77777777" w:rsidR="00367E91" w:rsidRDefault="002B0324">
      <w:pPr>
        <w:keepNext/>
        <w:spacing w:line="240" w:lineRule="auto"/>
        <w:jc w:val="center"/>
      </w:pPr>
      <w:r>
        <w:rPr>
          <w:sz w:val="28"/>
        </w:rPr>
        <w:t>Bilješka 55.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367E91" w14:paraId="01FC3AB6"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A225427" w14:textId="77777777" w:rsidR="00367E91" w:rsidRDefault="002B0324">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420358DA" w14:textId="77777777" w:rsidR="00367E91" w:rsidRDefault="002B0324">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5747745" w14:textId="77777777" w:rsidR="00367E91" w:rsidRDefault="002B0324">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0103DE7" w14:textId="77777777" w:rsidR="00367E91" w:rsidRDefault="002B0324">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7A23845B" w14:textId="77777777" w:rsidR="00367E91" w:rsidRDefault="002B0324">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3F99952A" w14:textId="77777777" w:rsidR="00367E91" w:rsidRDefault="002B0324">
            <w:pPr>
              <w:keepNext/>
              <w:keepLines/>
              <w:spacing w:after="0" w:line="240" w:lineRule="auto"/>
              <w:jc w:val="center"/>
            </w:pPr>
            <w:r>
              <w:rPr>
                <w:b/>
                <w:sz w:val="18"/>
              </w:rPr>
              <w:t>Indeks (%)</w:t>
            </w:r>
          </w:p>
        </w:tc>
      </w:tr>
      <w:tr w:rsidR="00367E91" w14:paraId="3DECD864" w14:textId="77777777">
        <w:tblPrEx>
          <w:tblCellMar>
            <w:top w:w="0" w:type="dxa"/>
            <w:bottom w:w="0" w:type="dxa"/>
          </w:tblCellMar>
        </w:tblPrEx>
        <w:trPr>
          <w:cantSplit/>
          <w:trHeight w:val="560"/>
        </w:trPr>
        <w:tc>
          <w:tcPr>
            <w:tcW w:w="700" w:type="dxa"/>
            <w:tcMar>
              <w:top w:w="0" w:type="dxa"/>
              <w:bottom w:w="0" w:type="dxa"/>
            </w:tcMar>
            <w:vAlign w:val="center"/>
          </w:tcPr>
          <w:p w14:paraId="44651269" w14:textId="77777777" w:rsidR="00367E91" w:rsidRDefault="002B0324">
            <w:pPr>
              <w:keepNext/>
              <w:keepLines/>
              <w:spacing w:after="0" w:line="240" w:lineRule="auto"/>
            </w:pPr>
            <w:r>
              <w:rPr>
                <w:sz w:val="18"/>
              </w:rPr>
              <w:t>2343</w:t>
            </w:r>
          </w:p>
        </w:tc>
        <w:tc>
          <w:tcPr>
            <w:tcW w:w="3180" w:type="dxa"/>
            <w:tcMar>
              <w:top w:w="0" w:type="dxa"/>
              <w:bottom w:w="0" w:type="dxa"/>
            </w:tcMar>
            <w:vAlign w:val="center"/>
          </w:tcPr>
          <w:p w14:paraId="74802C1F" w14:textId="77777777" w:rsidR="00367E91" w:rsidRDefault="002B0324">
            <w:pPr>
              <w:keepNext/>
              <w:keepLines/>
              <w:spacing w:after="0" w:line="240" w:lineRule="auto"/>
            </w:pPr>
            <w:r>
              <w:rPr>
                <w:sz w:val="18"/>
              </w:rPr>
              <w:t xml:space="preserve">Obveze za ostale </w:t>
            </w:r>
            <w:r>
              <w:rPr>
                <w:sz w:val="18"/>
              </w:rPr>
              <w:t>financijske rashode</w:t>
            </w:r>
          </w:p>
        </w:tc>
        <w:tc>
          <w:tcPr>
            <w:tcW w:w="700" w:type="dxa"/>
            <w:tcMar>
              <w:top w:w="0" w:type="dxa"/>
              <w:bottom w:w="0" w:type="dxa"/>
            </w:tcMar>
            <w:vAlign w:val="center"/>
          </w:tcPr>
          <w:p w14:paraId="74299A45" w14:textId="77777777" w:rsidR="00367E91" w:rsidRDefault="002B0324">
            <w:pPr>
              <w:keepNext/>
              <w:keepLines/>
              <w:spacing w:after="0" w:line="240" w:lineRule="auto"/>
            </w:pPr>
            <w:r>
              <w:rPr>
                <w:sz w:val="18"/>
              </w:rPr>
              <w:t>2343</w:t>
            </w:r>
          </w:p>
        </w:tc>
        <w:tc>
          <w:tcPr>
            <w:tcW w:w="1860" w:type="dxa"/>
            <w:tcMar>
              <w:top w:w="0" w:type="dxa"/>
              <w:bottom w:w="0" w:type="dxa"/>
            </w:tcMar>
            <w:vAlign w:val="center"/>
          </w:tcPr>
          <w:p w14:paraId="7B103064" w14:textId="77777777" w:rsidR="00367E91" w:rsidRDefault="002B0324">
            <w:pPr>
              <w:keepNext/>
              <w:keepLines/>
              <w:spacing w:after="0" w:line="240" w:lineRule="auto"/>
              <w:jc w:val="right"/>
            </w:pPr>
            <w:r>
              <w:rPr>
                <w:sz w:val="18"/>
              </w:rPr>
              <w:t>13,21</w:t>
            </w:r>
          </w:p>
        </w:tc>
        <w:tc>
          <w:tcPr>
            <w:tcW w:w="1860" w:type="dxa"/>
            <w:tcMar>
              <w:top w:w="0" w:type="dxa"/>
              <w:bottom w:w="0" w:type="dxa"/>
            </w:tcMar>
            <w:vAlign w:val="center"/>
          </w:tcPr>
          <w:p w14:paraId="371D58C0" w14:textId="77777777" w:rsidR="00367E91" w:rsidRDefault="002B0324">
            <w:pPr>
              <w:keepNext/>
              <w:keepLines/>
              <w:spacing w:after="0" w:line="240" w:lineRule="auto"/>
              <w:jc w:val="right"/>
            </w:pPr>
            <w:r>
              <w:rPr>
                <w:sz w:val="18"/>
              </w:rPr>
              <w:t>387,61</w:t>
            </w:r>
          </w:p>
        </w:tc>
        <w:tc>
          <w:tcPr>
            <w:tcW w:w="700" w:type="dxa"/>
            <w:tcMar>
              <w:top w:w="0" w:type="dxa"/>
              <w:bottom w:w="0" w:type="dxa"/>
            </w:tcMar>
            <w:vAlign w:val="center"/>
          </w:tcPr>
          <w:p w14:paraId="7BE2914B" w14:textId="77777777" w:rsidR="00367E91" w:rsidRDefault="002B0324">
            <w:pPr>
              <w:keepNext/>
              <w:keepLines/>
              <w:spacing w:after="0" w:line="240" w:lineRule="auto"/>
              <w:jc w:val="right"/>
            </w:pPr>
            <w:r>
              <w:rPr>
                <w:sz w:val="18"/>
              </w:rPr>
              <w:t>2934,2</w:t>
            </w:r>
          </w:p>
        </w:tc>
      </w:tr>
    </w:tbl>
    <w:p w14:paraId="42364EC4" w14:textId="77777777" w:rsidR="00367E91" w:rsidRDefault="00367E91">
      <w:pPr>
        <w:spacing w:after="0"/>
      </w:pPr>
    </w:p>
    <w:p w14:paraId="38789842" w14:textId="77777777" w:rsidR="00367E91" w:rsidRDefault="002B0324">
      <w:r>
        <w:t>zatezne kamate zbog korektivnih obrazaca naknadno priznatih kvalifikacija doktorata za dva asistenta – za jednog 7 mjeseci, za drugog 10 mjeseci. Korektivni obrazac plaće se radi za one mjesece kada je trebalo biti isplaćeno, a Porezna uprava obračunava za</w:t>
      </w:r>
      <w:r>
        <w:t>tezne kamate za razdoblje zaduženja-mjeseca na koji se odnosi obračun do trenutka isplate </w:t>
      </w:r>
    </w:p>
    <w:p w14:paraId="0575FAC4" w14:textId="77777777" w:rsidR="00367E91" w:rsidRDefault="00367E91"/>
    <w:p w14:paraId="1A21DC11" w14:textId="77777777" w:rsidR="00367E91" w:rsidRDefault="002B0324">
      <w:pPr>
        <w:keepNext/>
        <w:spacing w:line="240" w:lineRule="auto"/>
        <w:jc w:val="center"/>
      </w:pPr>
      <w:r>
        <w:rPr>
          <w:sz w:val="28"/>
        </w:rPr>
        <w:t>Bilješka 56.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367E91" w14:paraId="713EF385"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00427C2" w14:textId="77777777" w:rsidR="00367E91" w:rsidRDefault="002B0324">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5A75FE10" w14:textId="77777777" w:rsidR="00367E91" w:rsidRDefault="002B0324">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BA09BAD" w14:textId="77777777" w:rsidR="00367E91" w:rsidRDefault="002B0324">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B814351" w14:textId="77777777" w:rsidR="00367E91" w:rsidRDefault="002B0324">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090063DB" w14:textId="77777777" w:rsidR="00367E91" w:rsidRDefault="002B0324">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6F036B79" w14:textId="77777777" w:rsidR="00367E91" w:rsidRDefault="002B0324">
            <w:pPr>
              <w:keepNext/>
              <w:keepLines/>
              <w:spacing w:after="0" w:line="240" w:lineRule="auto"/>
              <w:jc w:val="center"/>
            </w:pPr>
            <w:r>
              <w:rPr>
                <w:b/>
                <w:sz w:val="18"/>
              </w:rPr>
              <w:t>Indeks (%)</w:t>
            </w:r>
          </w:p>
        </w:tc>
      </w:tr>
      <w:tr w:rsidR="00367E91" w14:paraId="214CFFD4" w14:textId="77777777">
        <w:tblPrEx>
          <w:tblCellMar>
            <w:top w:w="0" w:type="dxa"/>
            <w:bottom w:w="0" w:type="dxa"/>
          </w:tblCellMar>
        </w:tblPrEx>
        <w:trPr>
          <w:cantSplit/>
          <w:trHeight w:val="560"/>
        </w:trPr>
        <w:tc>
          <w:tcPr>
            <w:tcW w:w="700" w:type="dxa"/>
            <w:tcMar>
              <w:top w:w="0" w:type="dxa"/>
              <w:bottom w:w="0" w:type="dxa"/>
            </w:tcMar>
            <w:vAlign w:val="center"/>
          </w:tcPr>
          <w:p w14:paraId="17112B2E" w14:textId="77777777" w:rsidR="00367E91" w:rsidRDefault="002B0324">
            <w:pPr>
              <w:keepNext/>
              <w:keepLines/>
              <w:spacing w:after="0" w:line="240" w:lineRule="auto"/>
            </w:pPr>
            <w:r>
              <w:rPr>
                <w:sz w:val="18"/>
              </w:rPr>
              <w:t>239</w:t>
            </w:r>
          </w:p>
        </w:tc>
        <w:tc>
          <w:tcPr>
            <w:tcW w:w="3180" w:type="dxa"/>
            <w:tcMar>
              <w:top w:w="0" w:type="dxa"/>
              <w:bottom w:w="0" w:type="dxa"/>
            </w:tcMar>
            <w:vAlign w:val="center"/>
          </w:tcPr>
          <w:p w14:paraId="08B252EA" w14:textId="77777777" w:rsidR="00367E91" w:rsidRDefault="002B0324">
            <w:pPr>
              <w:keepNext/>
              <w:keepLines/>
              <w:spacing w:after="0" w:line="240" w:lineRule="auto"/>
            </w:pPr>
            <w:r>
              <w:rPr>
                <w:sz w:val="18"/>
              </w:rPr>
              <w:t>Ostale tekuće obveze</w:t>
            </w:r>
          </w:p>
        </w:tc>
        <w:tc>
          <w:tcPr>
            <w:tcW w:w="700" w:type="dxa"/>
            <w:tcMar>
              <w:top w:w="0" w:type="dxa"/>
              <w:bottom w:w="0" w:type="dxa"/>
            </w:tcMar>
            <w:vAlign w:val="center"/>
          </w:tcPr>
          <w:p w14:paraId="3C238E42" w14:textId="77777777" w:rsidR="00367E91" w:rsidRDefault="002B0324">
            <w:pPr>
              <w:keepNext/>
              <w:keepLines/>
              <w:spacing w:after="0" w:line="240" w:lineRule="auto"/>
            </w:pPr>
            <w:r>
              <w:rPr>
                <w:sz w:val="18"/>
              </w:rPr>
              <w:t>239</w:t>
            </w:r>
          </w:p>
        </w:tc>
        <w:tc>
          <w:tcPr>
            <w:tcW w:w="1860" w:type="dxa"/>
            <w:tcMar>
              <w:top w:w="0" w:type="dxa"/>
              <w:bottom w:w="0" w:type="dxa"/>
            </w:tcMar>
            <w:vAlign w:val="center"/>
          </w:tcPr>
          <w:p w14:paraId="3B155D1B" w14:textId="77777777" w:rsidR="00367E91" w:rsidRDefault="002B0324">
            <w:pPr>
              <w:keepNext/>
              <w:keepLines/>
              <w:spacing w:after="0" w:line="240" w:lineRule="auto"/>
              <w:jc w:val="right"/>
            </w:pPr>
            <w:r>
              <w:rPr>
                <w:sz w:val="18"/>
              </w:rPr>
              <w:t>5.530,76</w:t>
            </w:r>
          </w:p>
        </w:tc>
        <w:tc>
          <w:tcPr>
            <w:tcW w:w="1860" w:type="dxa"/>
            <w:tcMar>
              <w:top w:w="0" w:type="dxa"/>
              <w:bottom w:w="0" w:type="dxa"/>
            </w:tcMar>
            <w:vAlign w:val="center"/>
          </w:tcPr>
          <w:p w14:paraId="3DA1BA90" w14:textId="77777777" w:rsidR="00367E91" w:rsidRDefault="002B0324">
            <w:pPr>
              <w:keepNext/>
              <w:keepLines/>
              <w:spacing w:after="0" w:line="240" w:lineRule="auto"/>
              <w:jc w:val="right"/>
            </w:pPr>
            <w:r>
              <w:rPr>
                <w:sz w:val="18"/>
              </w:rPr>
              <w:t>8.405,38</w:t>
            </w:r>
          </w:p>
        </w:tc>
        <w:tc>
          <w:tcPr>
            <w:tcW w:w="700" w:type="dxa"/>
            <w:tcMar>
              <w:top w:w="0" w:type="dxa"/>
              <w:bottom w:w="0" w:type="dxa"/>
            </w:tcMar>
            <w:vAlign w:val="center"/>
          </w:tcPr>
          <w:p w14:paraId="007EF36B" w14:textId="77777777" w:rsidR="00367E91" w:rsidRDefault="002B0324">
            <w:pPr>
              <w:keepNext/>
              <w:keepLines/>
              <w:spacing w:after="0" w:line="240" w:lineRule="auto"/>
              <w:jc w:val="right"/>
            </w:pPr>
            <w:r>
              <w:rPr>
                <w:sz w:val="18"/>
              </w:rPr>
              <w:t>152,0</w:t>
            </w:r>
          </w:p>
        </w:tc>
      </w:tr>
    </w:tbl>
    <w:p w14:paraId="21FF2516" w14:textId="77777777" w:rsidR="00367E91" w:rsidRDefault="00367E91">
      <w:pPr>
        <w:spacing w:after="0"/>
      </w:pPr>
    </w:p>
    <w:p w14:paraId="543E7D64" w14:textId="77777777" w:rsidR="00367E91" w:rsidRDefault="002B0324">
      <w:r>
        <w:t>obveze prema studentima za više naplaćene troškve školovanja</w:t>
      </w:r>
    </w:p>
    <w:p w14:paraId="7C5D56F4" w14:textId="77777777" w:rsidR="00367E91" w:rsidRDefault="00367E91"/>
    <w:p w14:paraId="23DDCD46" w14:textId="77777777" w:rsidR="00367E91" w:rsidRDefault="002B0324">
      <w:pPr>
        <w:keepNext/>
        <w:spacing w:line="240" w:lineRule="auto"/>
        <w:jc w:val="center"/>
      </w:pPr>
      <w:r>
        <w:rPr>
          <w:sz w:val="28"/>
        </w:rPr>
        <w:t>Bilješka 57.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367E91" w14:paraId="0FD71E0E"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F18A902" w14:textId="77777777" w:rsidR="00367E91" w:rsidRDefault="002B0324">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40187C81" w14:textId="77777777" w:rsidR="00367E91" w:rsidRDefault="002B0324">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66D4559" w14:textId="77777777" w:rsidR="00367E91" w:rsidRDefault="002B0324">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90A0AB3" w14:textId="77777777" w:rsidR="00367E91" w:rsidRDefault="002B0324">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014944AE" w14:textId="77777777" w:rsidR="00367E91" w:rsidRDefault="002B0324">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72DC7DE8" w14:textId="77777777" w:rsidR="00367E91" w:rsidRDefault="002B0324">
            <w:pPr>
              <w:keepNext/>
              <w:keepLines/>
              <w:spacing w:after="0" w:line="240" w:lineRule="auto"/>
              <w:jc w:val="center"/>
            </w:pPr>
            <w:r>
              <w:rPr>
                <w:b/>
                <w:sz w:val="18"/>
              </w:rPr>
              <w:t>Indeks (%)</w:t>
            </w:r>
          </w:p>
        </w:tc>
      </w:tr>
      <w:tr w:rsidR="00367E91" w14:paraId="46935E5C" w14:textId="77777777">
        <w:tblPrEx>
          <w:tblCellMar>
            <w:top w:w="0" w:type="dxa"/>
            <w:bottom w:w="0" w:type="dxa"/>
          </w:tblCellMar>
        </w:tblPrEx>
        <w:trPr>
          <w:cantSplit/>
          <w:trHeight w:val="560"/>
        </w:trPr>
        <w:tc>
          <w:tcPr>
            <w:tcW w:w="700" w:type="dxa"/>
            <w:tcMar>
              <w:top w:w="0" w:type="dxa"/>
              <w:bottom w:w="0" w:type="dxa"/>
            </w:tcMar>
            <w:vAlign w:val="center"/>
          </w:tcPr>
          <w:p w14:paraId="4AA8A5F9" w14:textId="77777777" w:rsidR="00367E91" w:rsidRDefault="002B0324">
            <w:pPr>
              <w:keepNext/>
              <w:keepLines/>
              <w:spacing w:after="0" w:line="240" w:lineRule="auto"/>
            </w:pPr>
            <w:r>
              <w:rPr>
                <w:sz w:val="18"/>
              </w:rPr>
              <w:t>27</w:t>
            </w:r>
          </w:p>
        </w:tc>
        <w:tc>
          <w:tcPr>
            <w:tcW w:w="3180" w:type="dxa"/>
            <w:tcMar>
              <w:top w:w="0" w:type="dxa"/>
              <w:bottom w:w="0" w:type="dxa"/>
            </w:tcMar>
            <w:vAlign w:val="center"/>
          </w:tcPr>
          <w:p w14:paraId="42F425B6" w14:textId="77777777" w:rsidR="00367E91" w:rsidRDefault="002B0324">
            <w:pPr>
              <w:keepNext/>
              <w:keepLines/>
              <w:spacing w:after="0" w:line="240" w:lineRule="auto"/>
            </w:pPr>
            <w:r>
              <w:rPr>
                <w:sz w:val="18"/>
              </w:rPr>
              <w:t>Obveze za predujmove, depozite, jamčevne pologe i tuđe prihode</w:t>
            </w:r>
          </w:p>
        </w:tc>
        <w:tc>
          <w:tcPr>
            <w:tcW w:w="700" w:type="dxa"/>
            <w:tcMar>
              <w:top w:w="0" w:type="dxa"/>
              <w:bottom w:w="0" w:type="dxa"/>
            </w:tcMar>
            <w:vAlign w:val="center"/>
          </w:tcPr>
          <w:p w14:paraId="2B57924E" w14:textId="77777777" w:rsidR="00367E91" w:rsidRDefault="002B0324">
            <w:pPr>
              <w:keepNext/>
              <w:keepLines/>
              <w:spacing w:after="0" w:line="240" w:lineRule="auto"/>
            </w:pPr>
            <w:r>
              <w:rPr>
                <w:sz w:val="18"/>
              </w:rPr>
              <w:t>27</w:t>
            </w:r>
          </w:p>
        </w:tc>
        <w:tc>
          <w:tcPr>
            <w:tcW w:w="1860" w:type="dxa"/>
            <w:tcMar>
              <w:top w:w="0" w:type="dxa"/>
              <w:bottom w:w="0" w:type="dxa"/>
            </w:tcMar>
            <w:vAlign w:val="center"/>
          </w:tcPr>
          <w:p w14:paraId="59949659" w14:textId="77777777" w:rsidR="00367E91" w:rsidRDefault="002B0324">
            <w:pPr>
              <w:keepNext/>
              <w:keepLines/>
              <w:spacing w:after="0" w:line="240" w:lineRule="auto"/>
              <w:jc w:val="right"/>
            </w:pPr>
            <w:r>
              <w:rPr>
                <w:sz w:val="18"/>
              </w:rPr>
              <w:t>48.299,67</w:t>
            </w:r>
          </w:p>
        </w:tc>
        <w:tc>
          <w:tcPr>
            <w:tcW w:w="1860" w:type="dxa"/>
            <w:tcMar>
              <w:top w:w="0" w:type="dxa"/>
              <w:bottom w:w="0" w:type="dxa"/>
            </w:tcMar>
            <w:vAlign w:val="center"/>
          </w:tcPr>
          <w:p w14:paraId="3458B045" w14:textId="77777777" w:rsidR="00367E91" w:rsidRDefault="002B0324">
            <w:pPr>
              <w:keepNext/>
              <w:keepLines/>
              <w:spacing w:after="0" w:line="240" w:lineRule="auto"/>
              <w:jc w:val="right"/>
            </w:pPr>
            <w:r>
              <w:rPr>
                <w:sz w:val="18"/>
              </w:rPr>
              <w:t>86.697,91</w:t>
            </w:r>
          </w:p>
        </w:tc>
        <w:tc>
          <w:tcPr>
            <w:tcW w:w="700" w:type="dxa"/>
            <w:tcMar>
              <w:top w:w="0" w:type="dxa"/>
              <w:bottom w:w="0" w:type="dxa"/>
            </w:tcMar>
            <w:vAlign w:val="center"/>
          </w:tcPr>
          <w:p w14:paraId="496F1C09" w14:textId="77777777" w:rsidR="00367E91" w:rsidRDefault="002B0324">
            <w:pPr>
              <w:keepNext/>
              <w:keepLines/>
              <w:spacing w:after="0" w:line="240" w:lineRule="auto"/>
              <w:jc w:val="right"/>
            </w:pPr>
            <w:r>
              <w:rPr>
                <w:sz w:val="18"/>
              </w:rPr>
              <w:t>179,5</w:t>
            </w:r>
          </w:p>
        </w:tc>
      </w:tr>
    </w:tbl>
    <w:p w14:paraId="1E97C824" w14:textId="77777777" w:rsidR="00367E91" w:rsidRDefault="00367E91">
      <w:pPr>
        <w:spacing w:after="0"/>
      </w:pPr>
    </w:p>
    <w:p w14:paraId="3FE5C2F4" w14:textId="77777777" w:rsidR="00367E91" w:rsidRDefault="002B0324">
      <w:r>
        <w:t>obveza  za tuđe prihode:  uplata u Fond Sveučilišta (42.201,82 eura)  i obveze za programe Studentskog zbora Sveučilišta (1.368,02 eura) )– bit će podmireno u 2026. godini ;obveza za povrat  u proračun: neutrošena sredstva za projekt Ministarstva pravosuđa</w:t>
      </w:r>
      <w:r>
        <w:t xml:space="preserve">  „Afirmacija </w:t>
      </w:r>
      <w:r>
        <w:lastRenderedPageBreak/>
        <w:t xml:space="preserve">hrvatskog sustava besplatne pravne pomoći i Pravne klinike OSIJEK PRO BONO posredstvom pružanja općih pravnih informacija i pravnih savjeta u Osijeku i odabranim naseljima na području Osječko-baranjske županije“   (4.290,62 eura); neutrošeni </w:t>
      </w:r>
      <w:r>
        <w:t> iznos za sistematski pregled u 2025. godini ( 4.252,00 eura) .</w:t>
      </w:r>
    </w:p>
    <w:p w14:paraId="6C74D51E" w14:textId="77777777" w:rsidR="00367E91" w:rsidRDefault="00367E91"/>
    <w:p w14:paraId="5920CEDE" w14:textId="77777777" w:rsidR="00367E91" w:rsidRDefault="002B0324">
      <w:pPr>
        <w:keepNext/>
        <w:spacing w:line="240" w:lineRule="auto"/>
        <w:jc w:val="center"/>
      </w:pPr>
      <w:r>
        <w:rPr>
          <w:sz w:val="28"/>
        </w:rPr>
        <w:t>Bilješka 58.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367E91" w14:paraId="10C9F962"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AACF4F0" w14:textId="77777777" w:rsidR="00367E91" w:rsidRDefault="002B0324">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383D704F" w14:textId="77777777" w:rsidR="00367E91" w:rsidRDefault="002B0324">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80A475D" w14:textId="77777777" w:rsidR="00367E91" w:rsidRDefault="002B0324">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D608B42" w14:textId="77777777" w:rsidR="00367E91" w:rsidRDefault="002B0324">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6BCB3FF6" w14:textId="77777777" w:rsidR="00367E91" w:rsidRDefault="002B0324">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6F61AA2A" w14:textId="77777777" w:rsidR="00367E91" w:rsidRDefault="002B0324">
            <w:pPr>
              <w:keepNext/>
              <w:keepLines/>
              <w:spacing w:after="0" w:line="240" w:lineRule="auto"/>
              <w:jc w:val="center"/>
            </w:pPr>
            <w:r>
              <w:rPr>
                <w:b/>
                <w:sz w:val="18"/>
              </w:rPr>
              <w:t>Indeks (%)</w:t>
            </w:r>
          </w:p>
        </w:tc>
      </w:tr>
      <w:tr w:rsidR="00367E91" w14:paraId="1C566ADA" w14:textId="77777777">
        <w:tblPrEx>
          <w:tblCellMar>
            <w:top w:w="0" w:type="dxa"/>
            <w:bottom w:w="0" w:type="dxa"/>
          </w:tblCellMar>
        </w:tblPrEx>
        <w:trPr>
          <w:cantSplit/>
          <w:trHeight w:val="560"/>
        </w:trPr>
        <w:tc>
          <w:tcPr>
            <w:tcW w:w="700" w:type="dxa"/>
            <w:tcMar>
              <w:top w:w="0" w:type="dxa"/>
              <w:bottom w:w="0" w:type="dxa"/>
            </w:tcMar>
            <w:vAlign w:val="center"/>
          </w:tcPr>
          <w:p w14:paraId="2F70DC46" w14:textId="77777777" w:rsidR="00367E91" w:rsidRDefault="002B0324">
            <w:pPr>
              <w:keepNext/>
              <w:keepLines/>
              <w:spacing w:after="0" w:line="240" w:lineRule="auto"/>
            </w:pPr>
            <w:r>
              <w:rPr>
                <w:sz w:val="18"/>
              </w:rPr>
              <w:t>291</w:t>
            </w:r>
          </w:p>
        </w:tc>
        <w:tc>
          <w:tcPr>
            <w:tcW w:w="3180" w:type="dxa"/>
            <w:tcMar>
              <w:top w:w="0" w:type="dxa"/>
              <w:bottom w:w="0" w:type="dxa"/>
            </w:tcMar>
            <w:vAlign w:val="center"/>
          </w:tcPr>
          <w:p w14:paraId="17BF41B3" w14:textId="77777777" w:rsidR="00367E91" w:rsidRDefault="002B0324">
            <w:pPr>
              <w:keepNext/>
              <w:keepLines/>
              <w:spacing w:after="0" w:line="240" w:lineRule="auto"/>
            </w:pPr>
            <w:r>
              <w:rPr>
                <w:sz w:val="18"/>
              </w:rPr>
              <w:t>Odgođeno plaćanje rashoda</w:t>
            </w:r>
          </w:p>
        </w:tc>
        <w:tc>
          <w:tcPr>
            <w:tcW w:w="700" w:type="dxa"/>
            <w:tcMar>
              <w:top w:w="0" w:type="dxa"/>
              <w:bottom w:w="0" w:type="dxa"/>
            </w:tcMar>
            <w:vAlign w:val="center"/>
          </w:tcPr>
          <w:p w14:paraId="1F482275" w14:textId="77777777" w:rsidR="00367E91" w:rsidRDefault="002B0324">
            <w:pPr>
              <w:keepNext/>
              <w:keepLines/>
              <w:spacing w:after="0" w:line="240" w:lineRule="auto"/>
            </w:pPr>
            <w:r>
              <w:rPr>
                <w:sz w:val="18"/>
              </w:rPr>
              <w:t>291</w:t>
            </w:r>
          </w:p>
        </w:tc>
        <w:tc>
          <w:tcPr>
            <w:tcW w:w="1860" w:type="dxa"/>
            <w:tcMar>
              <w:top w:w="0" w:type="dxa"/>
              <w:bottom w:w="0" w:type="dxa"/>
            </w:tcMar>
            <w:vAlign w:val="center"/>
          </w:tcPr>
          <w:p w14:paraId="2D5E9F59" w14:textId="77777777" w:rsidR="00367E91" w:rsidRDefault="002B0324">
            <w:pPr>
              <w:keepNext/>
              <w:keepLines/>
              <w:spacing w:after="0" w:line="240" w:lineRule="auto"/>
              <w:jc w:val="right"/>
            </w:pPr>
            <w:r>
              <w:rPr>
                <w:sz w:val="18"/>
              </w:rPr>
              <w:t>1.061,02</w:t>
            </w:r>
          </w:p>
        </w:tc>
        <w:tc>
          <w:tcPr>
            <w:tcW w:w="1860" w:type="dxa"/>
            <w:tcMar>
              <w:top w:w="0" w:type="dxa"/>
              <w:bottom w:w="0" w:type="dxa"/>
            </w:tcMar>
            <w:vAlign w:val="center"/>
          </w:tcPr>
          <w:p w14:paraId="2213DFB1" w14:textId="77777777" w:rsidR="00367E91" w:rsidRDefault="002B0324">
            <w:pPr>
              <w:keepNext/>
              <w:keepLines/>
              <w:spacing w:after="0" w:line="240" w:lineRule="auto"/>
              <w:jc w:val="right"/>
            </w:pPr>
            <w:r>
              <w:rPr>
                <w:sz w:val="18"/>
              </w:rPr>
              <w:t>1.427,10</w:t>
            </w:r>
          </w:p>
        </w:tc>
        <w:tc>
          <w:tcPr>
            <w:tcW w:w="700" w:type="dxa"/>
            <w:tcMar>
              <w:top w:w="0" w:type="dxa"/>
              <w:bottom w:w="0" w:type="dxa"/>
            </w:tcMar>
            <w:vAlign w:val="center"/>
          </w:tcPr>
          <w:p w14:paraId="6F795247" w14:textId="77777777" w:rsidR="00367E91" w:rsidRDefault="002B0324">
            <w:pPr>
              <w:keepNext/>
              <w:keepLines/>
              <w:spacing w:after="0" w:line="240" w:lineRule="auto"/>
              <w:jc w:val="right"/>
            </w:pPr>
            <w:r>
              <w:rPr>
                <w:sz w:val="18"/>
              </w:rPr>
              <w:t>134,5</w:t>
            </w:r>
          </w:p>
        </w:tc>
      </w:tr>
    </w:tbl>
    <w:p w14:paraId="3A4DE6D1" w14:textId="77777777" w:rsidR="00367E91" w:rsidRDefault="00367E91">
      <w:pPr>
        <w:spacing w:after="0"/>
      </w:pPr>
    </w:p>
    <w:p w14:paraId="599CAD8D" w14:textId="77777777" w:rsidR="00367E91" w:rsidRDefault="002B0324">
      <w:r>
        <w:t>nefakturirani rashodi -obveze prema dobavljačima za izdane narudžbenice ali računi nisu ispostavljeni</w:t>
      </w:r>
    </w:p>
    <w:p w14:paraId="6ABADAF4" w14:textId="77777777" w:rsidR="00367E91" w:rsidRDefault="00367E91"/>
    <w:p w14:paraId="1D6EAF97" w14:textId="77777777" w:rsidR="00367E91" w:rsidRDefault="002B0324">
      <w:pPr>
        <w:keepNext/>
        <w:spacing w:line="240" w:lineRule="auto"/>
        <w:jc w:val="center"/>
      </w:pPr>
      <w:r>
        <w:rPr>
          <w:sz w:val="28"/>
        </w:rPr>
        <w:t>Bilješka 59.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367E91" w14:paraId="1B6A37E4"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A52EB61" w14:textId="77777777" w:rsidR="00367E91" w:rsidRDefault="002B0324">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1A1CB292" w14:textId="77777777" w:rsidR="00367E91" w:rsidRDefault="002B0324">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9FB45B5" w14:textId="77777777" w:rsidR="00367E91" w:rsidRDefault="002B0324">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7AE1336" w14:textId="77777777" w:rsidR="00367E91" w:rsidRDefault="002B0324">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0C23CC06" w14:textId="77777777" w:rsidR="00367E91" w:rsidRDefault="002B0324">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5456A7A5" w14:textId="77777777" w:rsidR="00367E91" w:rsidRDefault="002B0324">
            <w:pPr>
              <w:keepNext/>
              <w:keepLines/>
              <w:spacing w:after="0" w:line="240" w:lineRule="auto"/>
              <w:jc w:val="center"/>
            </w:pPr>
            <w:r>
              <w:rPr>
                <w:b/>
                <w:sz w:val="18"/>
              </w:rPr>
              <w:t>Indeks (%)</w:t>
            </w:r>
          </w:p>
        </w:tc>
      </w:tr>
      <w:tr w:rsidR="00367E91" w14:paraId="5564E6E3" w14:textId="77777777">
        <w:tblPrEx>
          <w:tblCellMar>
            <w:top w:w="0" w:type="dxa"/>
            <w:bottom w:w="0" w:type="dxa"/>
          </w:tblCellMar>
        </w:tblPrEx>
        <w:trPr>
          <w:cantSplit/>
          <w:trHeight w:val="560"/>
        </w:trPr>
        <w:tc>
          <w:tcPr>
            <w:tcW w:w="700" w:type="dxa"/>
            <w:tcMar>
              <w:top w:w="0" w:type="dxa"/>
              <w:bottom w:w="0" w:type="dxa"/>
            </w:tcMar>
            <w:vAlign w:val="center"/>
          </w:tcPr>
          <w:p w14:paraId="54EEDC3A" w14:textId="77777777" w:rsidR="00367E91" w:rsidRDefault="002B0324">
            <w:pPr>
              <w:keepNext/>
              <w:keepLines/>
              <w:spacing w:after="0" w:line="240" w:lineRule="auto"/>
            </w:pPr>
            <w:r>
              <w:rPr>
                <w:sz w:val="18"/>
              </w:rPr>
              <w:t>292</w:t>
            </w:r>
          </w:p>
        </w:tc>
        <w:tc>
          <w:tcPr>
            <w:tcW w:w="3180" w:type="dxa"/>
            <w:tcMar>
              <w:top w:w="0" w:type="dxa"/>
              <w:bottom w:w="0" w:type="dxa"/>
            </w:tcMar>
            <w:vAlign w:val="center"/>
          </w:tcPr>
          <w:p w14:paraId="6A8371F6" w14:textId="77777777" w:rsidR="00367E91" w:rsidRDefault="002B0324">
            <w:pPr>
              <w:keepNext/>
              <w:keepLines/>
              <w:spacing w:after="0" w:line="240" w:lineRule="auto"/>
            </w:pPr>
            <w:r>
              <w:rPr>
                <w:sz w:val="18"/>
              </w:rPr>
              <w:t>Naplaćeni prihodi budućih razdoblja</w:t>
            </w:r>
          </w:p>
        </w:tc>
        <w:tc>
          <w:tcPr>
            <w:tcW w:w="700" w:type="dxa"/>
            <w:tcMar>
              <w:top w:w="0" w:type="dxa"/>
              <w:bottom w:w="0" w:type="dxa"/>
            </w:tcMar>
            <w:vAlign w:val="center"/>
          </w:tcPr>
          <w:p w14:paraId="4FB7E2DA" w14:textId="77777777" w:rsidR="00367E91" w:rsidRDefault="002B0324">
            <w:pPr>
              <w:keepNext/>
              <w:keepLines/>
              <w:spacing w:after="0" w:line="240" w:lineRule="auto"/>
            </w:pPr>
            <w:r>
              <w:rPr>
                <w:sz w:val="18"/>
              </w:rPr>
              <w:t>292</w:t>
            </w:r>
          </w:p>
        </w:tc>
        <w:tc>
          <w:tcPr>
            <w:tcW w:w="1860" w:type="dxa"/>
            <w:tcMar>
              <w:top w:w="0" w:type="dxa"/>
              <w:bottom w:w="0" w:type="dxa"/>
            </w:tcMar>
            <w:vAlign w:val="center"/>
          </w:tcPr>
          <w:p w14:paraId="5C86A208" w14:textId="77777777" w:rsidR="00367E91" w:rsidRDefault="002B0324">
            <w:pPr>
              <w:keepNext/>
              <w:keepLines/>
              <w:spacing w:after="0" w:line="240" w:lineRule="auto"/>
              <w:jc w:val="right"/>
            </w:pPr>
            <w:r>
              <w:rPr>
                <w:sz w:val="18"/>
              </w:rPr>
              <w:t>135.000,00</w:t>
            </w:r>
          </w:p>
        </w:tc>
        <w:tc>
          <w:tcPr>
            <w:tcW w:w="1860" w:type="dxa"/>
            <w:tcMar>
              <w:top w:w="0" w:type="dxa"/>
              <w:bottom w:w="0" w:type="dxa"/>
            </w:tcMar>
            <w:vAlign w:val="center"/>
          </w:tcPr>
          <w:p w14:paraId="3402E8C5" w14:textId="77777777" w:rsidR="00367E91" w:rsidRDefault="002B0324">
            <w:pPr>
              <w:keepNext/>
              <w:keepLines/>
              <w:spacing w:after="0" w:line="240" w:lineRule="auto"/>
              <w:jc w:val="right"/>
            </w:pPr>
            <w:r>
              <w:rPr>
                <w:sz w:val="18"/>
              </w:rPr>
              <w:t>165.000,00</w:t>
            </w:r>
          </w:p>
        </w:tc>
        <w:tc>
          <w:tcPr>
            <w:tcW w:w="700" w:type="dxa"/>
            <w:tcMar>
              <w:top w:w="0" w:type="dxa"/>
              <w:bottom w:w="0" w:type="dxa"/>
            </w:tcMar>
            <w:vAlign w:val="center"/>
          </w:tcPr>
          <w:p w14:paraId="6EA89B90" w14:textId="77777777" w:rsidR="00367E91" w:rsidRDefault="002B0324">
            <w:pPr>
              <w:keepNext/>
              <w:keepLines/>
              <w:spacing w:after="0" w:line="240" w:lineRule="auto"/>
              <w:jc w:val="right"/>
            </w:pPr>
            <w:r>
              <w:rPr>
                <w:sz w:val="18"/>
              </w:rPr>
              <w:t>122,2</w:t>
            </w:r>
          </w:p>
        </w:tc>
      </w:tr>
    </w:tbl>
    <w:p w14:paraId="1AFA6ACF" w14:textId="77777777" w:rsidR="00367E91" w:rsidRDefault="00367E91">
      <w:pPr>
        <w:spacing w:after="0"/>
      </w:pPr>
    </w:p>
    <w:p w14:paraId="13E04099" w14:textId="77777777" w:rsidR="00367E91" w:rsidRDefault="002B0324">
      <w:r>
        <w:t>Veći iznos rezerviranih naplaćenih prihoda za pokriće rashoda u 2026. godini.</w:t>
      </w:r>
    </w:p>
    <w:p w14:paraId="1D1AE64E" w14:textId="77777777" w:rsidR="00367E91" w:rsidRDefault="00367E91"/>
    <w:p w14:paraId="2C020512" w14:textId="77777777" w:rsidR="00367E91" w:rsidRDefault="002B0324">
      <w:pPr>
        <w:keepNext/>
        <w:spacing w:line="240" w:lineRule="auto"/>
        <w:jc w:val="center"/>
      </w:pPr>
      <w:r>
        <w:rPr>
          <w:sz w:val="28"/>
        </w:rPr>
        <w:t>Bilješka 60.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367E91" w14:paraId="60E5C923"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48948FF" w14:textId="77777777" w:rsidR="00367E91" w:rsidRDefault="002B0324">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01C24717" w14:textId="77777777" w:rsidR="00367E91" w:rsidRDefault="002B0324">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52DF8C7" w14:textId="77777777" w:rsidR="00367E91" w:rsidRDefault="002B0324">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FAD9F59" w14:textId="77777777" w:rsidR="00367E91" w:rsidRDefault="002B0324">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62C6D486" w14:textId="77777777" w:rsidR="00367E91" w:rsidRDefault="002B0324">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00D4058E" w14:textId="77777777" w:rsidR="00367E91" w:rsidRDefault="002B0324">
            <w:pPr>
              <w:keepNext/>
              <w:keepLines/>
              <w:spacing w:after="0" w:line="240" w:lineRule="auto"/>
              <w:jc w:val="center"/>
            </w:pPr>
            <w:r>
              <w:rPr>
                <w:b/>
                <w:sz w:val="18"/>
              </w:rPr>
              <w:t>Indeks (%)</w:t>
            </w:r>
          </w:p>
        </w:tc>
      </w:tr>
      <w:tr w:rsidR="00367E91" w14:paraId="247D7F68" w14:textId="77777777">
        <w:tblPrEx>
          <w:tblCellMar>
            <w:top w:w="0" w:type="dxa"/>
            <w:bottom w:w="0" w:type="dxa"/>
          </w:tblCellMar>
        </w:tblPrEx>
        <w:trPr>
          <w:cantSplit/>
          <w:trHeight w:val="560"/>
        </w:trPr>
        <w:tc>
          <w:tcPr>
            <w:tcW w:w="700" w:type="dxa"/>
            <w:tcMar>
              <w:top w:w="0" w:type="dxa"/>
              <w:bottom w:w="0" w:type="dxa"/>
            </w:tcMar>
            <w:vAlign w:val="center"/>
          </w:tcPr>
          <w:p w14:paraId="6A623887" w14:textId="77777777" w:rsidR="00367E91" w:rsidRDefault="002B0324">
            <w:pPr>
              <w:keepNext/>
              <w:keepLines/>
              <w:spacing w:after="0" w:line="240" w:lineRule="auto"/>
            </w:pPr>
            <w:r>
              <w:rPr>
                <w:sz w:val="18"/>
              </w:rPr>
              <w:t>991</w:t>
            </w:r>
          </w:p>
        </w:tc>
        <w:tc>
          <w:tcPr>
            <w:tcW w:w="3180" w:type="dxa"/>
            <w:tcMar>
              <w:top w:w="0" w:type="dxa"/>
              <w:bottom w:w="0" w:type="dxa"/>
            </w:tcMar>
            <w:vAlign w:val="center"/>
          </w:tcPr>
          <w:p w14:paraId="551F7F2A" w14:textId="77777777" w:rsidR="00367E91" w:rsidRDefault="002B0324">
            <w:pPr>
              <w:keepNext/>
              <w:keepLines/>
              <w:spacing w:after="0" w:line="240" w:lineRule="auto"/>
            </w:pPr>
            <w:r>
              <w:rPr>
                <w:sz w:val="18"/>
              </w:rPr>
              <w:t xml:space="preserve">Izvanbilančni zapisi - aktiva </w:t>
            </w:r>
            <w:r>
              <w:rPr>
                <w:sz w:val="18"/>
              </w:rPr>
              <w:t>(šifra 996)</w:t>
            </w:r>
          </w:p>
        </w:tc>
        <w:tc>
          <w:tcPr>
            <w:tcW w:w="700" w:type="dxa"/>
            <w:tcMar>
              <w:top w:w="0" w:type="dxa"/>
              <w:bottom w:w="0" w:type="dxa"/>
            </w:tcMar>
            <w:vAlign w:val="center"/>
          </w:tcPr>
          <w:p w14:paraId="345E4C38" w14:textId="77777777" w:rsidR="00367E91" w:rsidRDefault="002B0324">
            <w:pPr>
              <w:keepNext/>
              <w:keepLines/>
              <w:spacing w:after="0" w:line="240" w:lineRule="auto"/>
            </w:pPr>
            <w:r>
              <w:rPr>
                <w:sz w:val="18"/>
              </w:rPr>
              <w:t>991</w:t>
            </w:r>
          </w:p>
        </w:tc>
        <w:tc>
          <w:tcPr>
            <w:tcW w:w="1860" w:type="dxa"/>
            <w:tcMar>
              <w:top w:w="0" w:type="dxa"/>
              <w:bottom w:w="0" w:type="dxa"/>
            </w:tcMar>
            <w:vAlign w:val="center"/>
          </w:tcPr>
          <w:p w14:paraId="209ED1A5" w14:textId="77777777" w:rsidR="00367E91" w:rsidRDefault="002B0324">
            <w:pPr>
              <w:keepNext/>
              <w:keepLines/>
              <w:spacing w:after="0" w:line="240" w:lineRule="auto"/>
              <w:jc w:val="right"/>
            </w:pPr>
            <w:r>
              <w:rPr>
                <w:sz w:val="18"/>
              </w:rPr>
              <w:t>219.679,80</w:t>
            </w:r>
          </w:p>
        </w:tc>
        <w:tc>
          <w:tcPr>
            <w:tcW w:w="1860" w:type="dxa"/>
            <w:tcMar>
              <w:top w:w="0" w:type="dxa"/>
              <w:bottom w:w="0" w:type="dxa"/>
            </w:tcMar>
            <w:vAlign w:val="center"/>
          </w:tcPr>
          <w:p w14:paraId="07DD5D7E" w14:textId="77777777" w:rsidR="00367E91" w:rsidRDefault="002B0324">
            <w:pPr>
              <w:keepNext/>
              <w:keepLines/>
              <w:spacing w:after="0" w:line="240" w:lineRule="auto"/>
              <w:jc w:val="right"/>
            </w:pPr>
            <w:r>
              <w:rPr>
                <w:sz w:val="18"/>
              </w:rPr>
              <w:t>2.729.780,39</w:t>
            </w:r>
          </w:p>
        </w:tc>
        <w:tc>
          <w:tcPr>
            <w:tcW w:w="700" w:type="dxa"/>
            <w:tcMar>
              <w:top w:w="0" w:type="dxa"/>
              <w:bottom w:w="0" w:type="dxa"/>
            </w:tcMar>
            <w:vAlign w:val="center"/>
          </w:tcPr>
          <w:p w14:paraId="5258673D" w14:textId="77777777" w:rsidR="00367E91" w:rsidRDefault="002B0324">
            <w:pPr>
              <w:keepNext/>
              <w:keepLines/>
              <w:spacing w:after="0" w:line="240" w:lineRule="auto"/>
              <w:jc w:val="right"/>
            </w:pPr>
            <w:r>
              <w:rPr>
                <w:sz w:val="18"/>
              </w:rPr>
              <w:t>1242,6</w:t>
            </w:r>
          </w:p>
        </w:tc>
      </w:tr>
    </w:tbl>
    <w:p w14:paraId="7D8D7000" w14:textId="77777777" w:rsidR="00367E91" w:rsidRDefault="00367E91">
      <w:pPr>
        <w:spacing w:after="0"/>
      </w:pPr>
    </w:p>
    <w:p w14:paraId="360EAB2F" w14:textId="77777777" w:rsidR="00367E91" w:rsidRDefault="002B0324">
      <w:r>
        <w:t>Šifra 991 i 996 Izvanbilančni zapisi :  </w:t>
      </w:r>
    </w:p>
    <w:p w14:paraId="6BC9F53A" w14:textId="77777777" w:rsidR="00367E91" w:rsidRDefault="002B0324">
      <w:r>
        <w:t>Promjene u 2025. godini:</w:t>
      </w:r>
    </w:p>
    <w:p w14:paraId="3DD19307" w14:textId="77777777" w:rsidR="00367E91" w:rsidRDefault="002B0324">
      <w:r>
        <w:t>a)       uknjižena  temeljem Reversa broj 25000935/30.9.2025. godine preuzeta  oprema od Carneta u vrijednosti 5.096,25 eura </w:t>
      </w:r>
    </w:p>
    <w:p w14:paraId="2C024F2F" w14:textId="77777777" w:rsidR="00367E91" w:rsidRDefault="002B0324">
      <w:r>
        <w:t>b)      Uknjižena je nabavna i ispravljena vrijednost razmjerno prostoru koji koristi Pravni fakultet Osijek  i primljenim podacim</w:t>
      </w:r>
      <w:r>
        <w:t>a (zgrada Rektorata na Trgu sv. Trojstva 3 Osijek, zgrada  Grada Osijeka u Radievoj 17, zgrada u Sveučilišnom campusu objekt br. 3 , vrijednost zemljišta u sveučilišnom campusu dodjeljenom Fakultetu (ukupna vrijednost 2.132.082,88 eura)</w:t>
      </w:r>
    </w:p>
    <w:p w14:paraId="6FA4772B" w14:textId="77777777" w:rsidR="00367E91" w:rsidRDefault="002B0324">
      <w:r>
        <w:lastRenderedPageBreak/>
        <w:t xml:space="preserve">c)       Uknjižena </w:t>
      </w:r>
      <w:r>
        <w:t>je ukupna vrijednost aktivnih EU projekata temeljem potpisanih ugovora (70.132,50 eura)</w:t>
      </w:r>
    </w:p>
    <w:p w14:paraId="137C9633" w14:textId="77777777" w:rsidR="00367E91" w:rsidRDefault="002B0324">
      <w:r>
        <w:t>d)      Uknjižena je vrijednost 5 NPOO EU projekata u sklopu novih programskih ugovora s trajanjem od listopada 2025. do rujna 2029. godine  (ukupna vrijednost 462.080,</w:t>
      </w:r>
      <w:r>
        <w:t>00)</w:t>
      </w:r>
    </w:p>
    <w:p w14:paraId="2D9AD375" w14:textId="77777777" w:rsidR="00367E91" w:rsidRDefault="002B0324">
      <w:r>
        <w:t>e)       Uknjižen je novi sudski spor  Pr.147-2025-1, (VPS iznos 19.156,11 eura )</w:t>
      </w:r>
    </w:p>
    <w:p w14:paraId="27AEFA6F" w14:textId="77777777" w:rsidR="00367E91" w:rsidRDefault="002B0324">
      <w:r>
        <w:t>f)       Uknjižena je vrijednost Hrvatsko-kanadskog znanstveno-gospodarskog klastera s Ministarstvom demografije (11.500,00 eura)</w:t>
      </w:r>
    </w:p>
    <w:p w14:paraId="7ECA405F" w14:textId="77777777" w:rsidR="00367E91" w:rsidRDefault="002B0324">
      <w:r>
        <w:t>g)      Isknjižen je povrat zadužnice pr</w:t>
      </w:r>
      <w:r>
        <w:t>imljene u 2023. godini kao jamstvo za isporučenu opremu s rokom važenja 11.4.2025. godine  (nabava JED-N:5/2023), iznos 2.000,00 eura</w:t>
      </w:r>
    </w:p>
    <w:p w14:paraId="30148ABA" w14:textId="77777777" w:rsidR="00367E91" w:rsidRDefault="002B0324">
      <w:r>
        <w:t>h)       Uknjižena je vrijednost primljene zadužnice od dobavljača kao jamstvo za isporučenu opremu s rokom  27.3.2027. (n</w:t>
      </w:r>
      <w:r>
        <w:t>abava JED-N:6/2025.) , iznos 10.000,00 eura</w:t>
      </w:r>
    </w:p>
    <w:p w14:paraId="1F1AD21F" w14:textId="77777777" w:rsidR="00367E91" w:rsidRDefault="002B0324">
      <w:r>
        <w:t>i)        Izvršene su korekcije nepravilnih knjiženja u ranijim razdobljima .</w:t>
      </w:r>
    </w:p>
    <w:p w14:paraId="62FBACDA" w14:textId="77777777" w:rsidR="00367E91" w:rsidRDefault="002B0324">
      <w:r>
        <w:t> </w:t>
      </w:r>
    </w:p>
    <w:p w14:paraId="6C230CDF" w14:textId="77777777" w:rsidR="00367E91" w:rsidRDefault="002B0324">
      <w:r>
        <w:t>Postojeći zapisi:</w:t>
      </w:r>
    </w:p>
    <w:p w14:paraId="17B1B383" w14:textId="77777777" w:rsidR="00367E91" w:rsidRDefault="002B0324">
      <w:r>
        <w:t>a)       izdana solemnizirana bjanko zadužnica na iznos od 20.000,00 eura Ministarstvu pravosuđa Republike Hrvatsk</w:t>
      </w:r>
      <w:r>
        <w:t>e u 2023. godini  za projekt pravne klinike PRO BONO u trajanju 3 godine</w:t>
      </w:r>
    </w:p>
    <w:p w14:paraId="17405CAB" w14:textId="77777777" w:rsidR="00367E91" w:rsidRDefault="002B0324">
      <w:r>
        <w:t>b)      primljena zadužnica na iznos 2.000,00 eura kao jamstvo za isporučenu robu , nabava u 2024. godini, rok važenja 18.4.2026. godine </w:t>
      </w:r>
    </w:p>
    <w:p w14:paraId="1B2FC8D1" w14:textId="77777777" w:rsidR="00367E91" w:rsidRDefault="002B0324">
      <w:r>
        <w:t>c)       u 2019. godini procijenjena vrijedno</w:t>
      </w:r>
      <w:r>
        <w:t>st radnog spora u tijeku  Pr-137/2019-3 (iznos 11.169,67 eura) temeljem Zapisnika o održanom pripremnom ročištu od 20.5.2019.godine; u 2023. godini iznos je sukladno tijeku sudskog postupka korigiran na 25.000,00 eura. </w:t>
      </w:r>
    </w:p>
    <w:p w14:paraId="1337B25A" w14:textId="77777777" w:rsidR="00367E91" w:rsidRDefault="002B0324">
      <w:r>
        <w:t>d)      U 2023. procijenjena vrijednost sudskog spora Pr-99/2023 iznos 21.277,85 eura</w:t>
      </w:r>
    </w:p>
    <w:p w14:paraId="5AC1D18E" w14:textId="77777777" w:rsidR="00367E91" w:rsidRDefault="002B0324">
      <w:r>
        <w:t>e)       u 2024. godini procijenjena vrijednost prekršajnog postupka iz 2024. godine u iznosu 39.810,00 eura  Pp-3667/2024.</w:t>
      </w:r>
    </w:p>
    <w:p w14:paraId="58910A87" w14:textId="77777777" w:rsidR="00367E91" w:rsidRDefault="002B0324">
      <w:r>
        <w:t>f)       u 2024. godini procijenjena vrijednos</w:t>
      </w:r>
      <w:r>
        <w:t>t prekršajnog postupka iz 2024. godine u iznosu 13.300,00 eura  temeljem tužbe Pp-3224/2024. </w:t>
      </w:r>
    </w:p>
    <w:p w14:paraId="4F4DC3FE" w14:textId="77777777" w:rsidR="00367E91" w:rsidRDefault="002B0324">
      <w:r>
        <w:t>g)      Primljena imovina od Carneta za projekt E-Sveučilište (1.878,75 eura)</w:t>
      </w:r>
    </w:p>
    <w:p w14:paraId="7564D723" w14:textId="77777777" w:rsidR="00367E91" w:rsidRDefault="002B0324">
      <w:r>
        <w:t>h)      U 2017. godini upisano temeljem izmjena Pravilnika o proračunskom računovods</w:t>
      </w:r>
      <w:r>
        <w:t>tvu i računskom planu (NN  87/2016.) isknjiženo je iz poslovnih knjiga i upisano u izvanbilančnu evidenciju  potraživanje od Ministarstva znanosti, obrazovanja i športa za zatezne kamate i sudsku pristojbu za božićnicu iz 2001. godine temeljem pravomoćne s</w:t>
      </w:r>
      <w:r>
        <w:t>udske presude br. VI-Pr1101/04-3 od 1. veljače 2005. godine (38.880,56 eura) </w:t>
      </w:r>
    </w:p>
    <w:p w14:paraId="389E6130" w14:textId="77777777" w:rsidR="00367E91" w:rsidRDefault="00367E91"/>
    <w:p w14:paraId="2F033180" w14:textId="77777777" w:rsidR="00367E91" w:rsidRDefault="002B0324">
      <w:pPr>
        <w:keepNext/>
        <w:spacing w:line="240" w:lineRule="auto"/>
        <w:jc w:val="center"/>
      </w:pPr>
      <w:r>
        <w:rPr>
          <w:sz w:val="28"/>
        </w:rPr>
        <w:lastRenderedPageBreak/>
        <w:t>Bilješka 61.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367E91" w14:paraId="1865ABAF"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88EC4C8" w14:textId="77777777" w:rsidR="00367E91" w:rsidRDefault="002B0324">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081FF8DD" w14:textId="77777777" w:rsidR="00367E91" w:rsidRDefault="002B0324">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D9ADF58" w14:textId="77777777" w:rsidR="00367E91" w:rsidRDefault="002B0324">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977217D" w14:textId="77777777" w:rsidR="00367E91" w:rsidRDefault="002B0324">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7A4C8F2D" w14:textId="77777777" w:rsidR="00367E91" w:rsidRDefault="002B0324">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661D9839" w14:textId="77777777" w:rsidR="00367E91" w:rsidRDefault="002B0324">
            <w:pPr>
              <w:keepNext/>
              <w:keepLines/>
              <w:spacing w:after="0" w:line="240" w:lineRule="auto"/>
              <w:jc w:val="center"/>
            </w:pPr>
            <w:r>
              <w:rPr>
                <w:b/>
                <w:sz w:val="18"/>
              </w:rPr>
              <w:t>Indeks (%)</w:t>
            </w:r>
          </w:p>
        </w:tc>
      </w:tr>
      <w:tr w:rsidR="00367E91" w14:paraId="21F3AB5C" w14:textId="77777777">
        <w:tblPrEx>
          <w:tblCellMar>
            <w:top w:w="0" w:type="dxa"/>
            <w:bottom w:w="0" w:type="dxa"/>
          </w:tblCellMar>
        </w:tblPrEx>
        <w:trPr>
          <w:cantSplit/>
          <w:trHeight w:val="560"/>
        </w:trPr>
        <w:tc>
          <w:tcPr>
            <w:tcW w:w="700" w:type="dxa"/>
            <w:tcMar>
              <w:top w:w="0" w:type="dxa"/>
              <w:bottom w:w="0" w:type="dxa"/>
            </w:tcMar>
            <w:vAlign w:val="center"/>
          </w:tcPr>
          <w:p w14:paraId="0F781E69" w14:textId="77777777" w:rsidR="00367E91" w:rsidRDefault="002B0324">
            <w:pPr>
              <w:keepNext/>
              <w:keepLines/>
              <w:spacing w:after="0" w:line="240" w:lineRule="auto"/>
            </w:pPr>
            <w:r>
              <w:rPr>
                <w:sz w:val="18"/>
              </w:rPr>
              <w:t>996</w:t>
            </w:r>
          </w:p>
        </w:tc>
        <w:tc>
          <w:tcPr>
            <w:tcW w:w="3180" w:type="dxa"/>
            <w:tcMar>
              <w:top w:w="0" w:type="dxa"/>
              <w:bottom w:w="0" w:type="dxa"/>
            </w:tcMar>
            <w:vAlign w:val="center"/>
          </w:tcPr>
          <w:p w14:paraId="0E3360B7" w14:textId="77777777" w:rsidR="00367E91" w:rsidRDefault="002B0324">
            <w:pPr>
              <w:keepNext/>
              <w:keepLines/>
              <w:spacing w:after="0" w:line="240" w:lineRule="auto"/>
            </w:pPr>
            <w:r>
              <w:rPr>
                <w:sz w:val="18"/>
              </w:rPr>
              <w:t>Izvanbilančni zapisi - pasiva</w:t>
            </w:r>
          </w:p>
        </w:tc>
        <w:tc>
          <w:tcPr>
            <w:tcW w:w="700" w:type="dxa"/>
            <w:tcMar>
              <w:top w:w="0" w:type="dxa"/>
              <w:bottom w:w="0" w:type="dxa"/>
            </w:tcMar>
            <w:vAlign w:val="center"/>
          </w:tcPr>
          <w:p w14:paraId="6411F34B" w14:textId="77777777" w:rsidR="00367E91" w:rsidRDefault="002B0324">
            <w:pPr>
              <w:keepNext/>
              <w:keepLines/>
              <w:spacing w:after="0" w:line="240" w:lineRule="auto"/>
            </w:pPr>
            <w:r>
              <w:rPr>
                <w:sz w:val="18"/>
              </w:rPr>
              <w:t>996</w:t>
            </w:r>
          </w:p>
        </w:tc>
        <w:tc>
          <w:tcPr>
            <w:tcW w:w="1860" w:type="dxa"/>
            <w:tcMar>
              <w:top w:w="0" w:type="dxa"/>
              <w:bottom w:w="0" w:type="dxa"/>
            </w:tcMar>
            <w:vAlign w:val="center"/>
          </w:tcPr>
          <w:p w14:paraId="1FAF6189" w14:textId="77777777" w:rsidR="00367E91" w:rsidRDefault="002B0324">
            <w:pPr>
              <w:keepNext/>
              <w:keepLines/>
              <w:spacing w:after="0" w:line="240" w:lineRule="auto"/>
              <w:jc w:val="right"/>
            </w:pPr>
            <w:r>
              <w:rPr>
                <w:sz w:val="18"/>
              </w:rPr>
              <w:t>219.679,80</w:t>
            </w:r>
          </w:p>
        </w:tc>
        <w:tc>
          <w:tcPr>
            <w:tcW w:w="1860" w:type="dxa"/>
            <w:tcMar>
              <w:top w:w="0" w:type="dxa"/>
              <w:bottom w:w="0" w:type="dxa"/>
            </w:tcMar>
            <w:vAlign w:val="center"/>
          </w:tcPr>
          <w:p w14:paraId="263D7DB8" w14:textId="77777777" w:rsidR="00367E91" w:rsidRDefault="002B0324">
            <w:pPr>
              <w:keepNext/>
              <w:keepLines/>
              <w:spacing w:after="0" w:line="240" w:lineRule="auto"/>
              <w:jc w:val="right"/>
            </w:pPr>
            <w:r>
              <w:rPr>
                <w:sz w:val="18"/>
              </w:rPr>
              <w:t>2.729.780,39</w:t>
            </w:r>
          </w:p>
        </w:tc>
        <w:tc>
          <w:tcPr>
            <w:tcW w:w="700" w:type="dxa"/>
            <w:tcMar>
              <w:top w:w="0" w:type="dxa"/>
              <w:bottom w:w="0" w:type="dxa"/>
            </w:tcMar>
            <w:vAlign w:val="center"/>
          </w:tcPr>
          <w:p w14:paraId="200CB11F" w14:textId="77777777" w:rsidR="00367E91" w:rsidRDefault="002B0324">
            <w:pPr>
              <w:keepNext/>
              <w:keepLines/>
              <w:spacing w:after="0" w:line="240" w:lineRule="auto"/>
              <w:jc w:val="right"/>
            </w:pPr>
            <w:r>
              <w:rPr>
                <w:sz w:val="18"/>
              </w:rPr>
              <w:t>1242,6</w:t>
            </w:r>
          </w:p>
        </w:tc>
      </w:tr>
    </w:tbl>
    <w:p w14:paraId="1C01ABA3" w14:textId="77777777" w:rsidR="00367E91" w:rsidRDefault="00367E91">
      <w:pPr>
        <w:spacing w:after="0"/>
      </w:pPr>
    </w:p>
    <w:p w14:paraId="07223D12" w14:textId="77777777" w:rsidR="00367E91" w:rsidRDefault="002B0324">
      <w:r>
        <w:t>objašnjeno kao pod 991</w:t>
      </w:r>
    </w:p>
    <w:p w14:paraId="478D9F80" w14:textId="77777777" w:rsidR="00367E91" w:rsidRDefault="00367E91"/>
    <w:p w14:paraId="1F2CC1AD" w14:textId="77777777" w:rsidR="00367E91" w:rsidRDefault="002B0324">
      <w:pPr>
        <w:keepNext/>
        <w:spacing w:line="240" w:lineRule="auto"/>
        <w:jc w:val="center"/>
      </w:pPr>
      <w:r>
        <w:rPr>
          <w:b/>
          <w:sz w:val="28"/>
        </w:rPr>
        <w:t>Promjene u vrijednosti i obujmu imovine i obveza</w:t>
      </w:r>
    </w:p>
    <w:p w14:paraId="130ECAF7" w14:textId="77777777" w:rsidR="00367E91" w:rsidRDefault="002B0324">
      <w:pPr>
        <w:keepNext/>
        <w:spacing w:line="240" w:lineRule="auto"/>
        <w:jc w:val="center"/>
      </w:pPr>
      <w:r>
        <w:rPr>
          <w:sz w:val="28"/>
        </w:rPr>
        <w:t>Bilješka 62.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367E91" w14:paraId="508A8EB5"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98D134A" w14:textId="77777777" w:rsidR="00367E91" w:rsidRDefault="002B0324">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7429C224" w14:textId="77777777" w:rsidR="00367E91" w:rsidRDefault="002B0324">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109CB21" w14:textId="77777777" w:rsidR="00367E91" w:rsidRDefault="002B0324">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FC261C4" w14:textId="77777777" w:rsidR="00367E91" w:rsidRDefault="002B0324">
            <w:pPr>
              <w:keepNext/>
              <w:keepLines/>
              <w:spacing w:after="0" w:line="240" w:lineRule="auto"/>
              <w:jc w:val="center"/>
            </w:pPr>
            <w:r>
              <w:rPr>
                <w:b/>
                <w:sz w:val="18"/>
              </w:rPr>
              <w:t>Iznos povećanja</w:t>
            </w:r>
          </w:p>
        </w:tc>
        <w:tc>
          <w:tcPr>
            <w:tcW w:w="1860" w:type="dxa"/>
            <w:shd w:val="clear" w:color="auto" w:fill="E7F0F9"/>
            <w:tcMar>
              <w:top w:w="0" w:type="dxa"/>
              <w:bottom w:w="0" w:type="dxa"/>
            </w:tcMar>
            <w:vAlign w:val="center"/>
          </w:tcPr>
          <w:p w14:paraId="0F2D7F90" w14:textId="77777777" w:rsidR="00367E91" w:rsidRDefault="002B0324">
            <w:pPr>
              <w:keepNext/>
              <w:keepLines/>
              <w:spacing w:after="0" w:line="240" w:lineRule="auto"/>
              <w:jc w:val="center"/>
            </w:pPr>
            <w:r>
              <w:rPr>
                <w:b/>
                <w:sz w:val="18"/>
              </w:rPr>
              <w:t>Iznos smanjenja</w:t>
            </w:r>
          </w:p>
        </w:tc>
        <w:tc>
          <w:tcPr>
            <w:tcW w:w="700" w:type="dxa"/>
            <w:shd w:val="clear" w:color="auto" w:fill="E7F0F9"/>
            <w:tcMar>
              <w:top w:w="0" w:type="dxa"/>
              <w:bottom w:w="0" w:type="dxa"/>
            </w:tcMar>
            <w:vAlign w:val="center"/>
          </w:tcPr>
          <w:p w14:paraId="5F8370C8" w14:textId="77777777" w:rsidR="00367E91" w:rsidRDefault="002B0324">
            <w:pPr>
              <w:keepNext/>
              <w:keepLines/>
              <w:spacing w:after="0" w:line="240" w:lineRule="auto"/>
              <w:jc w:val="center"/>
            </w:pPr>
            <w:r>
              <w:rPr>
                <w:b/>
                <w:sz w:val="18"/>
              </w:rPr>
              <w:t>Indeks (%)</w:t>
            </w:r>
          </w:p>
        </w:tc>
      </w:tr>
      <w:tr w:rsidR="00367E91" w14:paraId="150D2D4B" w14:textId="77777777">
        <w:tblPrEx>
          <w:tblCellMar>
            <w:top w:w="0" w:type="dxa"/>
            <w:bottom w:w="0" w:type="dxa"/>
          </w:tblCellMar>
        </w:tblPrEx>
        <w:trPr>
          <w:cantSplit/>
          <w:trHeight w:val="560"/>
        </w:trPr>
        <w:tc>
          <w:tcPr>
            <w:tcW w:w="700" w:type="dxa"/>
            <w:tcMar>
              <w:top w:w="0" w:type="dxa"/>
              <w:bottom w:w="0" w:type="dxa"/>
            </w:tcMar>
            <w:vAlign w:val="center"/>
          </w:tcPr>
          <w:p w14:paraId="6E919EBA" w14:textId="77777777" w:rsidR="00367E91" w:rsidRDefault="002B0324">
            <w:pPr>
              <w:keepNext/>
              <w:keepLines/>
              <w:spacing w:after="0" w:line="240" w:lineRule="auto"/>
            </w:pPr>
            <w:r>
              <w:rPr>
                <w:sz w:val="18"/>
              </w:rPr>
              <w:t>91511</w:t>
            </w:r>
          </w:p>
        </w:tc>
        <w:tc>
          <w:tcPr>
            <w:tcW w:w="3180" w:type="dxa"/>
            <w:tcMar>
              <w:top w:w="0" w:type="dxa"/>
              <w:bottom w:w="0" w:type="dxa"/>
            </w:tcMar>
            <w:vAlign w:val="center"/>
          </w:tcPr>
          <w:p w14:paraId="638331C4" w14:textId="77777777" w:rsidR="00367E91" w:rsidRDefault="002B0324">
            <w:pPr>
              <w:keepNext/>
              <w:keepLines/>
              <w:spacing w:after="0" w:line="240" w:lineRule="auto"/>
            </w:pPr>
            <w:r>
              <w:rPr>
                <w:sz w:val="18"/>
              </w:rPr>
              <w:t>Promjene u vrijednosti imovine (šifre P001+P008)</w:t>
            </w:r>
          </w:p>
        </w:tc>
        <w:tc>
          <w:tcPr>
            <w:tcW w:w="700" w:type="dxa"/>
            <w:tcMar>
              <w:top w:w="0" w:type="dxa"/>
              <w:bottom w:w="0" w:type="dxa"/>
            </w:tcMar>
            <w:vAlign w:val="center"/>
          </w:tcPr>
          <w:p w14:paraId="3B191122" w14:textId="77777777" w:rsidR="00367E91" w:rsidRDefault="002B0324">
            <w:pPr>
              <w:keepNext/>
              <w:keepLines/>
              <w:spacing w:after="0" w:line="240" w:lineRule="auto"/>
            </w:pPr>
            <w:r>
              <w:rPr>
                <w:sz w:val="18"/>
              </w:rPr>
              <w:t>91511</w:t>
            </w:r>
          </w:p>
        </w:tc>
        <w:tc>
          <w:tcPr>
            <w:tcW w:w="1860" w:type="dxa"/>
            <w:tcMar>
              <w:top w:w="0" w:type="dxa"/>
              <w:bottom w:w="0" w:type="dxa"/>
            </w:tcMar>
            <w:vAlign w:val="center"/>
          </w:tcPr>
          <w:p w14:paraId="4BB31287" w14:textId="77777777" w:rsidR="00367E91" w:rsidRDefault="002B0324">
            <w:pPr>
              <w:keepNext/>
              <w:keepLines/>
              <w:spacing w:after="0" w:line="240" w:lineRule="auto"/>
              <w:jc w:val="right"/>
            </w:pPr>
            <w:r>
              <w:rPr>
                <w:sz w:val="18"/>
              </w:rPr>
              <w:t>0,00</w:t>
            </w:r>
          </w:p>
        </w:tc>
        <w:tc>
          <w:tcPr>
            <w:tcW w:w="1860" w:type="dxa"/>
            <w:tcMar>
              <w:top w:w="0" w:type="dxa"/>
              <w:bottom w:w="0" w:type="dxa"/>
            </w:tcMar>
            <w:vAlign w:val="center"/>
          </w:tcPr>
          <w:p w14:paraId="2FDAA254" w14:textId="77777777" w:rsidR="00367E91" w:rsidRDefault="002B0324">
            <w:pPr>
              <w:keepNext/>
              <w:keepLines/>
              <w:spacing w:after="0" w:line="240" w:lineRule="auto"/>
              <w:jc w:val="right"/>
            </w:pPr>
            <w:r>
              <w:rPr>
                <w:sz w:val="18"/>
              </w:rPr>
              <w:t>65.549,49</w:t>
            </w:r>
          </w:p>
        </w:tc>
        <w:tc>
          <w:tcPr>
            <w:tcW w:w="700" w:type="dxa"/>
            <w:tcMar>
              <w:top w:w="0" w:type="dxa"/>
              <w:bottom w:w="0" w:type="dxa"/>
            </w:tcMar>
            <w:vAlign w:val="center"/>
          </w:tcPr>
          <w:p w14:paraId="71924FD2" w14:textId="77777777" w:rsidR="00367E91" w:rsidRDefault="002B0324">
            <w:pPr>
              <w:keepNext/>
              <w:keepLines/>
              <w:spacing w:after="0" w:line="240" w:lineRule="auto"/>
              <w:jc w:val="right"/>
            </w:pPr>
            <w:r>
              <w:rPr>
                <w:sz w:val="18"/>
              </w:rPr>
              <w:t>-</w:t>
            </w:r>
          </w:p>
        </w:tc>
      </w:tr>
    </w:tbl>
    <w:p w14:paraId="358F4F6B" w14:textId="77777777" w:rsidR="00367E91" w:rsidRDefault="00367E91">
      <w:pPr>
        <w:spacing w:after="0"/>
      </w:pPr>
    </w:p>
    <w:p w14:paraId="55E6860D" w14:textId="77777777" w:rsidR="00367E91" w:rsidRDefault="002B0324">
      <w:r>
        <w:t>povećanja nema.</w:t>
      </w:r>
    </w:p>
    <w:p w14:paraId="07B173D2" w14:textId="77777777" w:rsidR="00367E91" w:rsidRDefault="002B0324">
      <w:r>
        <w:t>smanjenje je redoviti ispravak vrijednosti opreme za 2025. godinu (65.549,49 eura); </w:t>
      </w:r>
    </w:p>
    <w:p w14:paraId="3DB503A0" w14:textId="77777777" w:rsidR="00367E91" w:rsidRDefault="00367E91"/>
    <w:p w14:paraId="6458DDC6" w14:textId="77777777" w:rsidR="00367E91" w:rsidRDefault="002B0324">
      <w:pPr>
        <w:keepNext/>
        <w:spacing w:line="240" w:lineRule="auto"/>
        <w:jc w:val="center"/>
      </w:pPr>
      <w:r>
        <w:rPr>
          <w:sz w:val="28"/>
        </w:rPr>
        <w:t>Bilješka 63.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367E91" w14:paraId="7576CA33"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040EE2A" w14:textId="77777777" w:rsidR="00367E91" w:rsidRDefault="002B0324">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15FD970E" w14:textId="77777777" w:rsidR="00367E91" w:rsidRDefault="002B0324">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C98A6BD" w14:textId="77777777" w:rsidR="00367E91" w:rsidRDefault="002B0324">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7417268" w14:textId="77777777" w:rsidR="00367E91" w:rsidRDefault="002B0324">
            <w:pPr>
              <w:keepNext/>
              <w:keepLines/>
              <w:spacing w:after="0" w:line="240" w:lineRule="auto"/>
              <w:jc w:val="center"/>
            </w:pPr>
            <w:r>
              <w:rPr>
                <w:b/>
                <w:sz w:val="18"/>
              </w:rPr>
              <w:t>Iznos povećanja</w:t>
            </w:r>
          </w:p>
        </w:tc>
        <w:tc>
          <w:tcPr>
            <w:tcW w:w="1860" w:type="dxa"/>
            <w:shd w:val="clear" w:color="auto" w:fill="E7F0F9"/>
            <w:tcMar>
              <w:top w:w="0" w:type="dxa"/>
              <w:bottom w:w="0" w:type="dxa"/>
            </w:tcMar>
            <w:vAlign w:val="center"/>
          </w:tcPr>
          <w:p w14:paraId="34CEE024" w14:textId="77777777" w:rsidR="00367E91" w:rsidRDefault="002B0324">
            <w:pPr>
              <w:keepNext/>
              <w:keepLines/>
              <w:spacing w:after="0" w:line="240" w:lineRule="auto"/>
              <w:jc w:val="center"/>
            </w:pPr>
            <w:r>
              <w:rPr>
                <w:b/>
                <w:sz w:val="18"/>
              </w:rPr>
              <w:t>Iznos smanjenja</w:t>
            </w:r>
          </w:p>
        </w:tc>
        <w:tc>
          <w:tcPr>
            <w:tcW w:w="700" w:type="dxa"/>
            <w:shd w:val="clear" w:color="auto" w:fill="E7F0F9"/>
            <w:tcMar>
              <w:top w:w="0" w:type="dxa"/>
              <w:bottom w:w="0" w:type="dxa"/>
            </w:tcMar>
            <w:vAlign w:val="center"/>
          </w:tcPr>
          <w:p w14:paraId="7F798F2E" w14:textId="77777777" w:rsidR="00367E91" w:rsidRDefault="002B0324">
            <w:pPr>
              <w:keepNext/>
              <w:keepLines/>
              <w:spacing w:after="0" w:line="240" w:lineRule="auto"/>
              <w:jc w:val="center"/>
            </w:pPr>
            <w:r>
              <w:rPr>
                <w:b/>
                <w:sz w:val="18"/>
              </w:rPr>
              <w:t>Indeks (%)</w:t>
            </w:r>
          </w:p>
        </w:tc>
      </w:tr>
      <w:tr w:rsidR="00367E91" w14:paraId="3882BF95" w14:textId="77777777">
        <w:tblPrEx>
          <w:tblCellMar>
            <w:top w:w="0" w:type="dxa"/>
            <w:bottom w:w="0" w:type="dxa"/>
          </w:tblCellMar>
        </w:tblPrEx>
        <w:trPr>
          <w:cantSplit/>
          <w:trHeight w:val="560"/>
        </w:trPr>
        <w:tc>
          <w:tcPr>
            <w:tcW w:w="700" w:type="dxa"/>
            <w:tcMar>
              <w:top w:w="0" w:type="dxa"/>
              <w:bottom w:w="0" w:type="dxa"/>
            </w:tcMar>
            <w:vAlign w:val="center"/>
          </w:tcPr>
          <w:p w14:paraId="6937F558" w14:textId="77777777" w:rsidR="00367E91" w:rsidRDefault="002B0324">
            <w:pPr>
              <w:keepNext/>
              <w:keepLines/>
              <w:spacing w:after="0" w:line="240" w:lineRule="auto"/>
            </w:pPr>
            <w:r>
              <w:rPr>
                <w:sz w:val="18"/>
              </w:rPr>
              <w:t>91512</w:t>
            </w:r>
          </w:p>
        </w:tc>
        <w:tc>
          <w:tcPr>
            <w:tcW w:w="3180" w:type="dxa"/>
            <w:tcMar>
              <w:top w:w="0" w:type="dxa"/>
              <w:bottom w:w="0" w:type="dxa"/>
            </w:tcMar>
            <w:vAlign w:val="center"/>
          </w:tcPr>
          <w:p w14:paraId="22CC23B0" w14:textId="77777777" w:rsidR="00367E91" w:rsidRDefault="002B0324">
            <w:pPr>
              <w:keepNext/>
              <w:keepLines/>
              <w:spacing w:after="0" w:line="240" w:lineRule="auto"/>
            </w:pPr>
            <w:r>
              <w:rPr>
                <w:sz w:val="18"/>
              </w:rPr>
              <w:t>Promjene u obujmu imovine (šifre P016+P023)</w:t>
            </w:r>
          </w:p>
        </w:tc>
        <w:tc>
          <w:tcPr>
            <w:tcW w:w="700" w:type="dxa"/>
            <w:tcMar>
              <w:top w:w="0" w:type="dxa"/>
              <w:bottom w:w="0" w:type="dxa"/>
            </w:tcMar>
            <w:vAlign w:val="center"/>
          </w:tcPr>
          <w:p w14:paraId="0C81CDF0" w14:textId="77777777" w:rsidR="00367E91" w:rsidRDefault="002B0324">
            <w:pPr>
              <w:keepNext/>
              <w:keepLines/>
              <w:spacing w:after="0" w:line="240" w:lineRule="auto"/>
            </w:pPr>
            <w:r>
              <w:rPr>
                <w:sz w:val="18"/>
              </w:rPr>
              <w:t>91512</w:t>
            </w:r>
          </w:p>
        </w:tc>
        <w:tc>
          <w:tcPr>
            <w:tcW w:w="1860" w:type="dxa"/>
            <w:tcMar>
              <w:top w:w="0" w:type="dxa"/>
              <w:bottom w:w="0" w:type="dxa"/>
            </w:tcMar>
            <w:vAlign w:val="center"/>
          </w:tcPr>
          <w:p w14:paraId="6AC63019" w14:textId="77777777" w:rsidR="00367E91" w:rsidRDefault="002B0324">
            <w:pPr>
              <w:keepNext/>
              <w:keepLines/>
              <w:spacing w:after="0" w:line="240" w:lineRule="auto"/>
              <w:jc w:val="right"/>
            </w:pPr>
            <w:r>
              <w:rPr>
                <w:sz w:val="18"/>
              </w:rPr>
              <w:t>5.525,00</w:t>
            </w:r>
          </w:p>
        </w:tc>
        <w:tc>
          <w:tcPr>
            <w:tcW w:w="1860" w:type="dxa"/>
            <w:tcMar>
              <w:top w:w="0" w:type="dxa"/>
              <w:bottom w:w="0" w:type="dxa"/>
            </w:tcMar>
            <w:vAlign w:val="center"/>
          </w:tcPr>
          <w:p w14:paraId="50302CF6" w14:textId="77777777" w:rsidR="00367E91" w:rsidRDefault="002B0324">
            <w:pPr>
              <w:keepNext/>
              <w:keepLines/>
              <w:spacing w:after="0" w:line="240" w:lineRule="auto"/>
              <w:jc w:val="right"/>
            </w:pPr>
            <w:r>
              <w:rPr>
                <w:sz w:val="18"/>
              </w:rPr>
              <w:t>0,00</w:t>
            </w:r>
          </w:p>
        </w:tc>
        <w:tc>
          <w:tcPr>
            <w:tcW w:w="700" w:type="dxa"/>
            <w:tcMar>
              <w:top w:w="0" w:type="dxa"/>
              <w:bottom w:w="0" w:type="dxa"/>
            </w:tcMar>
            <w:vAlign w:val="center"/>
          </w:tcPr>
          <w:p w14:paraId="6339B933" w14:textId="77777777" w:rsidR="00367E91" w:rsidRDefault="002B0324">
            <w:pPr>
              <w:keepNext/>
              <w:keepLines/>
              <w:spacing w:after="0" w:line="240" w:lineRule="auto"/>
              <w:jc w:val="right"/>
            </w:pPr>
            <w:r>
              <w:rPr>
                <w:sz w:val="18"/>
              </w:rPr>
              <w:t>0</w:t>
            </w:r>
          </w:p>
        </w:tc>
      </w:tr>
    </w:tbl>
    <w:p w14:paraId="0AFC79BE" w14:textId="77777777" w:rsidR="00367E91" w:rsidRDefault="00367E91">
      <w:pPr>
        <w:spacing w:after="0"/>
      </w:pPr>
    </w:p>
    <w:p w14:paraId="12D733DC" w14:textId="77777777" w:rsidR="00367E91" w:rsidRDefault="002B0324">
      <w:r>
        <w:t>Povećanje (ukupno 5.525,00 eura) procijenjena vrijednost darovanih knjiga knjižnici Pravnog fakulteta  Osijek u 2025. godini od proračunskih korisnika, </w:t>
      </w:r>
    </w:p>
    <w:p w14:paraId="64ED3D7C" w14:textId="77777777" w:rsidR="00367E91" w:rsidRDefault="002B0324">
      <w:r>
        <w:t> </w:t>
      </w:r>
    </w:p>
    <w:p w14:paraId="7C5CB195" w14:textId="77777777" w:rsidR="00367E91" w:rsidRDefault="00367E91"/>
    <w:p w14:paraId="0B15A4C8" w14:textId="77777777" w:rsidR="00367E91" w:rsidRDefault="002B0324">
      <w:pPr>
        <w:keepNext/>
        <w:spacing w:line="240" w:lineRule="auto"/>
        <w:jc w:val="center"/>
      </w:pPr>
      <w:r>
        <w:rPr>
          <w:b/>
          <w:sz w:val="28"/>
        </w:rPr>
        <w:t>Izvještaj o obvezama</w:t>
      </w:r>
    </w:p>
    <w:p w14:paraId="585F45AD" w14:textId="77777777" w:rsidR="00367E91" w:rsidRDefault="002B0324">
      <w:pPr>
        <w:keepNext/>
        <w:spacing w:line="240" w:lineRule="auto"/>
        <w:jc w:val="center"/>
      </w:pPr>
      <w:r>
        <w:rPr>
          <w:sz w:val="28"/>
        </w:rPr>
        <w:t>Bilješka 64.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883"/>
        <w:gridCol w:w="4008"/>
        <w:gridCol w:w="882"/>
        <w:gridCol w:w="2345"/>
        <w:gridCol w:w="882"/>
      </w:tblGrid>
      <w:tr w:rsidR="00367E91" w14:paraId="0B724AC8"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A00E074" w14:textId="77777777" w:rsidR="00367E91" w:rsidRDefault="002B0324">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6EAF9D7A" w14:textId="77777777" w:rsidR="00367E91" w:rsidRDefault="002B0324">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2393B44" w14:textId="77777777" w:rsidR="00367E91" w:rsidRDefault="002B0324">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8A399E9" w14:textId="77777777" w:rsidR="00367E91" w:rsidRDefault="002B0324">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14:paraId="4754634D" w14:textId="77777777" w:rsidR="00367E91" w:rsidRDefault="002B0324">
            <w:pPr>
              <w:keepNext/>
              <w:keepLines/>
              <w:spacing w:after="0" w:line="240" w:lineRule="auto"/>
              <w:jc w:val="center"/>
            </w:pPr>
            <w:r>
              <w:rPr>
                <w:b/>
                <w:sz w:val="18"/>
              </w:rPr>
              <w:t>Indeks (%)</w:t>
            </w:r>
          </w:p>
        </w:tc>
      </w:tr>
      <w:tr w:rsidR="00367E91" w14:paraId="3E7E4581" w14:textId="77777777">
        <w:tblPrEx>
          <w:tblCellMar>
            <w:top w:w="0" w:type="dxa"/>
            <w:bottom w:w="0" w:type="dxa"/>
          </w:tblCellMar>
        </w:tblPrEx>
        <w:trPr>
          <w:cantSplit/>
          <w:trHeight w:val="560"/>
        </w:trPr>
        <w:tc>
          <w:tcPr>
            <w:tcW w:w="700" w:type="dxa"/>
            <w:tcMar>
              <w:top w:w="0" w:type="dxa"/>
              <w:bottom w:w="0" w:type="dxa"/>
            </w:tcMar>
            <w:vAlign w:val="center"/>
          </w:tcPr>
          <w:p w14:paraId="3AAB8AE9" w14:textId="77777777" w:rsidR="00367E91" w:rsidRDefault="00367E91">
            <w:pPr>
              <w:keepNext/>
              <w:keepLines/>
              <w:spacing w:after="0" w:line="240" w:lineRule="auto"/>
            </w:pPr>
          </w:p>
        </w:tc>
        <w:tc>
          <w:tcPr>
            <w:tcW w:w="3180" w:type="dxa"/>
            <w:tcMar>
              <w:top w:w="0" w:type="dxa"/>
              <w:bottom w:w="0" w:type="dxa"/>
            </w:tcMar>
            <w:vAlign w:val="center"/>
          </w:tcPr>
          <w:p w14:paraId="61FCE595" w14:textId="77777777" w:rsidR="00367E91" w:rsidRDefault="002B0324">
            <w:pPr>
              <w:keepNext/>
              <w:keepLines/>
              <w:spacing w:after="0" w:line="240" w:lineRule="auto"/>
            </w:pPr>
            <w:r>
              <w:rPr>
                <w:sz w:val="18"/>
              </w:rPr>
              <w:t>Stanje dospjelih obveza na kraju izvještajnog razdoblja (šifre V008+D23+D24 + 'D dio 25,26' + D27)</w:t>
            </w:r>
          </w:p>
        </w:tc>
        <w:tc>
          <w:tcPr>
            <w:tcW w:w="700" w:type="dxa"/>
            <w:tcMar>
              <w:top w:w="0" w:type="dxa"/>
              <w:bottom w:w="0" w:type="dxa"/>
            </w:tcMar>
            <w:vAlign w:val="center"/>
          </w:tcPr>
          <w:p w14:paraId="3E007645" w14:textId="77777777" w:rsidR="00367E91" w:rsidRDefault="002B0324">
            <w:pPr>
              <w:keepNext/>
              <w:keepLines/>
              <w:spacing w:after="0" w:line="240" w:lineRule="auto"/>
            </w:pPr>
            <w:r>
              <w:rPr>
                <w:sz w:val="18"/>
              </w:rPr>
              <w:t>V007</w:t>
            </w:r>
          </w:p>
        </w:tc>
        <w:tc>
          <w:tcPr>
            <w:tcW w:w="1860" w:type="dxa"/>
            <w:tcMar>
              <w:top w:w="0" w:type="dxa"/>
              <w:bottom w:w="0" w:type="dxa"/>
            </w:tcMar>
            <w:vAlign w:val="center"/>
          </w:tcPr>
          <w:p w14:paraId="32C6198C" w14:textId="77777777" w:rsidR="00367E91" w:rsidRDefault="002B0324">
            <w:pPr>
              <w:keepNext/>
              <w:keepLines/>
              <w:spacing w:after="0" w:line="240" w:lineRule="auto"/>
              <w:jc w:val="right"/>
            </w:pPr>
            <w:r>
              <w:rPr>
                <w:sz w:val="18"/>
              </w:rPr>
              <w:t>8.405,38</w:t>
            </w:r>
          </w:p>
        </w:tc>
        <w:tc>
          <w:tcPr>
            <w:tcW w:w="700" w:type="dxa"/>
            <w:tcMar>
              <w:top w:w="0" w:type="dxa"/>
              <w:bottom w:w="0" w:type="dxa"/>
            </w:tcMar>
            <w:vAlign w:val="center"/>
          </w:tcPr>
          <w:p w14:paraId="74CED996" w14:textId="77777777" w:rsidR="00367E91" w:rsidRDefault="002B0324">
            <w:pPr>
              <w:keepNext/>
              <w:keepLines/>
              <w:spacing w:after="0" w:line="240" w:lineRule="auto"/>
              <w:jc w:val="right"/>
            </w:pPr>
            <w:r>
              <w:rPr>
                <w:sz w:val="18"/>
              </w:rPr>
              <w:t>-</w:t>
            </w:r>
          </w:p>
        </w:tc>
      </w:tr>
    </w:tbl>
    <w:p w14:paraId="0D3D4301" w14:textId="77777777" w:rsidR="00367E91" w:rsidRDefault="00367E91">
      <w:pPr>
        <w:spacing w:after="0"/>
      </w:pPr>
    </w:p>
    <w:p w14:paraId="02402860" w14:textId="77777777" w:rsidR="00367E91" w:rsidRDefault="002B0324">
      <w:r>
        <w:lastRenderedPageBreak/>
        <w:t>Šifra V001 Stanje obveza 1.1.2025. godine Stanje obveza sa 1.1.2025. godine iznosi 465.149,62 eura i najvećim djelom se sastoji od izdataka za plaće zaposlenika za prosinac 2024. i obveze prema dobavljačima i studentma. </w:t>
      </w:r>
    </w:p>
    <w:p w14:paraId="7259A863" w14:textId="77777777" w:rsidR="00367E91" w:rsidRDefault="002B0324">
      <w:r>
        <w:t> </w:t>
      </w:r>
    </w:p>
    <w:p w14:paraId="749DE309" w14:textId="77777777" w:rsidR="00367E91" w:rsidRDefault="002B0324">
      <w:r>
        <w:t>Šifra V006 Stanje obveza na kraju</w:t>
      </w:r>
      <w:r>
        <w:t xml:space="preserve"> izvještajnog razdoblja Obveze na kraju izvještajnog razdoblja iznose 535.627,63 eura i najvećim djelom se sastoje od izdataka za plaće zaposlenika za plaću za prosinac  2025. godine. Dospjele obveze iznose 8.405,38 eura a odnose se na obvezu za više plaće</w:t>
      </w:r>
      <w:r>
        <w:t>ne naknade studenata. Ostalo su nedospjele obveze (440.524,34 eura) koje će biti podmirene tijekom siječnja 2026. godine  ili do dana dospijeća (izuzetak je bolovanje na teret HZZO ). Fakultet nema obveze za nabavku nefinancijske imovine. Obveze za predujm</w:t>
      </w:r>
      <w:r>
        <w:t>ove, depozite, jamčevne pologe i tuđe prihode (skupina 27-nedospjelo) iznose 86.697,91 eura.</w:t>
      </w:r>
    </w:p>
    <w:p w14:paraId="681BD7F6" w14:textId="77777777" w:rsidR="00367E91" w:rsidRDefault="00367E91"/>
    <w:p w14:paraId="0F38F6C6" w14:textId="77777777" w:rsidR="00367E91" w:rsidRDefault="002B0324">
      <w:pPr>
        <w:keepNext/>
        <w:spacing w:line="240" w:lineRule="auto"/>
        <w:jc w:val="center"/>
      </w:pPr>
      <w:r>
        <w:rPr>
          <w:sz w:val="28"/>
        </w:rPr>
        <w:t>Bilješka 65.</w:t>
      </w:r>
    </w:p>
    <w:p w14:paraId="175FCDD1" w14:textId="77777777" w:rsidR="00367E91" w:rsidRDefault="002B0324">
      <w:pPr>
        <w:spacing w:line="240" w:lineRule="auto"/>
        <w:jc w:val="both"/>
      </w:pPr>
      <w:r>
        <w:rPr>
          <w:b/>
        </w:rPr>
        <w:t>EU izvještaj</w:t>
      </w:r>
    </w:p>
    <w:p w14:paraId="51679421" w14:textId="77777777" w:rsidR="00367E91" w:rsidRDefault="002B0324">
      <w:r>
        <w:t xml:space="preserve">Na pravnom fakultetu Osijek trenutno su aktivna 3 EU projekta: Jean Monnet modul „European Union i Gender Equality – EUGEquality“  i  Jean Monnet modul „European support for children at risk of poverty – EU_SHINE“  (projekti financirani od strane Europske </w:t>
      </w:r>
      <w:r>
        <w:t>izvršne agencije za obrazovanje i kulturu i trajanjem od 1.11.2023. do 31.10.2026. godine) te projekt  „Towards Universal Parenthood in Europe – UNIPar“ gdje smo partner u projektu  (nositelj je Universita degli Studi di Genova, trajanje od 1.2.2024. do 31</w:t>
      </w:r>
      <w:r>
        <w:t>.1.2026. a financira ga Europska unija u okviru Programa za pravosuđe).</w:t>
      </w:r>
    </w:p>
    <w:p w14:paraId="0DAAA197" w14:textId="77777777" w:rsidR="00367E91" w:rsidRDefault="002B0324">
      <w:r>
        <w:t>U 2025. temeljem Uputa za računovodstveno evidentiranje sredstava Europske unije Ministarstva financija, iz preenesenog viška prihoda sredstva primljenog a neutrošenog predujma su evid</w:t>
      </w:r>
      <w:r>
        <w:t>entirana na računu 27511 Obveze za EU predujmove. Za rashode  u 2025. godini koji se pokrivaju iz primljenog predujma priznati su prihodi  za sva tri projekta u ukupnom iznosu 12.093,47 eura </w:t>
      </w:r>
    </w:p>
    <w:p w14:paraId="6605CB09" w14:textId="77777777" w:rsidR="00367E91" w:rsidRDefault="002B0324">
      <w:r>
        <w:t> </w:t>
      </w:r>
    </w:p>
    <w:p w14:paraId="074B066B" w14:textId="77777777" w:rsidR="00367E91" w:rsidRDefault="00367E91"/>
    <w:sectPr w:rsidR="00367E9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7E91"/>
    <w:rsid w:val="002B0324"/>
    <w:rsid w:val="00367E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D9693A"/>
  <w15:docId w15:val="{08098482-0239-40B3-9358-BF3327CA4C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23</Pages>
  <Words>5802</Words>
  <Characters>33074</Characters>
  <Application>Microsoft Office Word</Application>
  <DocSecurity>0</DocSecurity>
  <Lines>275</Lines>
  <Paragraphs>77</Paragraphs>
  <ScaleCrop>false</ScaleCrop>
  <Company/>
  <LinksUpToDate>false</LinksUpToDate>
  <CharactersWithSpaces>38799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ivancica</dc:creator>
  <cp:lastModifiedBy>ivancica</cp:lastModifiedBy>
  <cp:revision>2</cp:revision>
  <dcterms:created xsi:type="dcterms:W3CDTF">2026-02-09T09:36:00Z</dcterms:created>
  <dcterms:modified xsi:type="dcterms:W3CDTF">2026-02-09T09:36:00Z</dcterms:modified>
</cp:coreProperties>
</file>