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BF5CB0" w14:textId="77777777" w:rsidR="007531C2" w:rsidRPr="004716CF" w:rsidRDefault="00117C88" w:rsidP="007531C2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>KLASA:</w:t>
      </w:r>
      <w:r w:rsidR="00DF78AE"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 007-01/24-02/1</w:t>
      </w:r>
    </w:p>
    <w:p w14:paraId="4053B403" w14:textId="77777777" w:rsidR="00117C88" w:rsidRPr="004716CF" w:rsidRDefault="00117C88" w:rsidP="007531C2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>URBROJ:</w:t>
      </w:r>
      <w:r w:rsidR="00DF78AE"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 2158-95-01-24-1</w:t>
      </w:r>
    </w:p>
    <w:p w14:paraId="662DBC64" w14:textId="77777777" w:rsidR="00117C88" w:rsidRPr="004716CF" w:rsidRDefault="00117C88" w:rsidP="007531C2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>Osijek, 27. studenog 2024. godine</w:t>
      </w:r>
    </w:p>
    <w:p w14:paraId="03A1385A" w14:textId="77777777" w:rsidR="004716CF" w:rsidRDefault="004716CF" w:rsidP="007531C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5AFB7703" w14:textId="77777777" w:rsidR="004716CF" w:rsidRPr="004716CF" w:rsidRDefault="004716CF" w:rsidP="007531C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7C118F45" w14:textId="77777777" w:rsidR="00117C88" w:rsidRPr="004716CF" w:rsidRDefault="00DF78AE" w:rsidP="00117C88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SAVJETOVANJE S JAVNOŠĆU </w:t>
      </w:r>
    </w:p>
    <w:p w14:paraId="48B23A75" w14:textId="77777777" w:rsidR="00117C88" w:rsidRPr="004716CF" w:rsidRDefault="00117C88" w:rsidP="004716C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o </w:t>
      </w:r>
      <w:r w:rsidR="00936DF3">
        <w:rPr>
          <w:rFonts w:ascii="Times New Roman" w:hAnsi="Times New Roman" w:cs="Times New Roman"/>
          <w:b/>
          <w:bCs/>
          <w:sz w:val="22"/>
          <w:szCs w:val="22"/>
          <w:lang w:val="hr-HR"/>
        </w:rPr>
        <w:t>N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>acrtu prijedloga Pravilnika o mjerilima i načinu korištenja namjenskih prihoda, nenamjenskih donacija i vlastitih prihoda</w:t>
      </w:r>
    </w:p>
    <w:p w14:paraId="78798606" w14:textId="77777777" w:rsidR="00117C88" w:rsidRPr="004716CF" w:rsidRDefault="00117C88" w:rsidP="00DF78AE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14:paraId="6917871E" w14:textId="77777777" w:rsidR="00117C88" w:rsidRPr="004716CF" w:rsidRDefault="00DF78AE" w:rsidP="00DF78A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Na temelju članka 11. Zakona o pravu na pristup informacijama („Narodne novine“ broj 25/13., 85/15. i 69/22.) radna skupina za izradu Pravilnika o mjerilima i načinu korištenja namjenskih prihoda, nenamjenskih donacija i vlastitih prihoda Pravnog fakulteta Osijek upućuje na savjetovanje s javnošću </w:t>
      </w:r>
      <w:r w:rsidR="00C51A22">
        <w:rPr>
          <w:rFonts w:ascii="Times New Roman" w:hAnsi="Times New Roman" w:cs="Times New Roman"/>
          <w:sz w:val="22"/>
          <w:szCs w:val="22"/>
          <w:lang w:val="hr-HR"/>
        </w:rPr>
        <w:t>N</w:t>
      </w:r>
      <w:r w:rsidRPr="004716CF">
        <w:rPr>
          <w:rFonts w:ascii="Times New Roman" w:hAnsi="Times New Roman" w:cs="Times New Roman"/>
          <w:sz w:val="22"/>
          <w:szCs w:val="22"/>
          <w:lang w:val="hr-HR"/>
        </w:rPr>
        <w:t>acrt prijedloga Pravilnika o mjerilima i načinu korištenja namjenskih prihoda, nenamjenskih donacija i vlastitih prihoda Pravnog fakulteta Osijek.</w:t>
      </w:r>
    </w:p>
    <w:p w14:paraId="46A77C50" w14:textId="77777777" w:rsidR="001373BF" w:rsidRPr="004716CF" w:rsidRDefault="001373BF" w:rsidP="00DF78A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258F0EA" w14:textId="77777777" w:rsidR="001373BF" w:rsidRPr="004716CF" w:rsidRDefault="004716CF" w:rsidP="00DF78A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>Pravilnikom o mjerilima i načinu korištenja namjenskih prihoda proračunskih korisnika iz nadležnosti Ministarstva, znanosti, obrazovanja i mladih („Narodne novine</w:t>
      </w:r>
      <w:r w:rsidR="00DD3A4B">
        <w:rPr>
          <w:rFonts w:ascii="Times New Roman" w:hAnsi="Times New Roman" w:cs="Times New Roman"/>
          <w:sz w:val="22"/>
          <w:szCs w:val="22"/>
          <w:lang w:val="hr-HR"/>
        </w:rPr>
        <w:t>“</w:t>
      </w: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 broj 79/24.) i Pravilnikom o mjerilima i načinu korištenja nenamjenskih donacija i</w:t>
      </w:r>
      <w:r w:rsidR="00C51A22">
        <w:rPr>
          <w:rFonts w:ascii="Times New Roman" w:hAnsi="Times New Roman" w:cs="Times New Roman"/>
          <w:sz w:val="22"/>
          <w:szCs w:val="22"/>
          <w:lang w:val="hr-HR"/>
        </w:rPr>
        <w:t xml:space="preserve"> vlastitih prihoda proračunskih </w:t>
      </w:r>
      <w:r w:rsidRPr="004716CF">
        <w:rPr>
          <w:rFonts w:ascii="Times New Roman" w:hAnsi="Times New Roman" w:cs="Times New Roman"/>
          <w:sz w:val="22"/>
          <w:szCs w:val="22"/>
          <w:lang w:val="hr-HR"/>
        </w:rPr>
        <w:t>korisnika iz nadležnosti Ministarstva znanosti, obrazovanja i mladih („Narodne novine“ broj 79/24.), a u skladu sa Zakon</w:t>
      </w:r>
      <w:r w:rsidR="0053255C">
        <w:rPr>
          <w:rFonts w:ascii="Times New Roman" w:hAnsi="Times New Roman" w:cs="Times New Roman"/>
          <w:sz w:val="22"/>
          <w:szCs w:val="22"/>
          <w:lang w:val="hr-HR"/>
        </w:rPr>
        <w:t>om</w:t>
      </w: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 o visokom obrazovanju i znanstvenoj djelatnosti („Narodne novine“ broj 119/22.), </w:t>
      </w:r>
      <w:r w:rsidR="00C51A22">
        <w:rPr>
          <w:rFonts w:ascii="Times New Roman" w:hAnsi="Times New Roman" w:cs="Times New Roman"/>
          <w:sz w:val="22"/>
          <w:szCs w:val="22"/>
          <w:lang w:val="hr-HR"/>
        </w:rPr>
        <w:t xml:space="preserve">propisano je da je </w:t>
      </w:r>
      <w:r w:rsidRPr="004716CF">
        <w:rPr>
          <w:rFonts w:ascii="Times New Roman" w:hAnsi="Times New Roman" w:cs="Times New Roman"/>
          <w:sz w:val="22"/>
          <w:szCs w:val="22"/>
          <w:lang w:val="hr-HR"/>
        </w:rPr>
        <w:t>čelnik odnosno upravljačko tijelo korisnika</w:t>
      </w:r>
      <w:r w:rsidR="00F16716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C51A22">
        <w:rPr>
          <w:rFonts w:ascii="Times New Roman" w:hAnsi="Times New Roman" w:cs="Times New Roman"/>
          <w:sz w:val="22"/>
          <w:szCs w:val="22"/>
          <w:lang w:val="hr-HR"/>
        </w:rPr>
        <w:t>obvezno u predviđenom</w:t>
      </w:r>
      <w:r w:rsidR="00F16716">
        <w:rPr>
          <w:rFonts w:ascii="Times New Roman" w:hAnsi="Times New Roman" w:cs="Times New Roman"/>
          <w:sz w:val="22"/>
          <w:szCs w:val="22"/>
          <w:lang w:val="hr-HR"/>
        </w:rPr>
        <w:t xml:space="preserve"> roku</w:t>
      </w: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 donijeti opći akt kojim se uređuje ostvarivanje i korištenje namjenskih prihoda kao i nenamjenskih donacija i vlastitih prihoda, a koji je u skladu s </w:t>
      </w:r>
      <w:r w:rsidR="00F16716">
        <w:rPr>
          <w:rFonts w:ascii="Times New Roman" w:hAnsi="Times New Roman" w:cs="Times New Roman"/>
          <w:sz w:val="22"/>
          <w:szCs w:val="22"/>
          <w:lang w:val="hr-HR"/>
        </w:rPr>
        <w:t xml:space="preserve">navedenim </w:t>
      </w: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Pravilnicima. </w:t>
      </w:r>
    </w:p>
    <w:p w14:paraId="491F1168" w14:textId="77777777" w:rsidR="00DF78AE" w:rsidRPr="004716CF" w:rsidRDefault="00DF78AE" w:rsidP="00DF78A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7EB98CC" w14:textId="77777777" w:rsidR="00DF78AE" w:rsidRPr="004716CF" w:rsidRDefault="00DF78AE" w:rsidP="00DF78A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>Nacrt prijedloga Pravilnika o mjerilima i načinu korištenja namjenskih prihoda, nenamjenskih donacija i vlastitih prihoda Pravnog fakulteta Osijek objavljen je na mrežnim stranicama Pravnog fakulteta Osijek te je dostupan zainteresirano javnosti i svim članovima akademske zajednice.</w:t>
      </w:r>
    </w:p>
    <w:p w14:paraId="3451B808" w14:textId="77777777" w:rsidR="00DF78AE" w:rsidRPr="004716CF" w:rsidRDefault="00DF78AE" w:rsidP="00DF78A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E0DD04A" w14:textId="6453E382" w:rsidR="00DF78AE" w:rsidRPr="004716CF" w:rsidRDefault="00DF78AE" w:rsidP="00DF78AE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>Javno savjetovanje započinje 27. studenog 2024. godine i traje do 27. prosinca 2024. godine.</w:t>
      </w:r>
    </w:p>
    <w:p w14:paraId="32FC885E" w14:textId="77777777" w:rsidR="00DF78AE" w:rsidRPr="004716CF" w:rsidRDefault="00DF78AE" w:rsidP="00DF78A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D083DB1" w14:textId="05AC2C23" w:rsidR="00DF78AE" w:rsidRPr="004716CF" w:rsidRDefault="00DF78AE" w:rsidP="00DF78A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Komentare, prijedloge i primjedbe na Nacrt prijedloga Pravilnika o mjerilima i načinu korištenja namjenskih prihoda, nenamjenskih donacija i vlastitih prihoda Pravnog fakulteta Osijek moguće je dostaviti putem elektroničke pošte na e-mail </w:t>
      </w:r>
      <w:hyperlink r:id="rId7" w:history="1">
        <w:r w:rsidRPr="004716CF">
          <w:rPr>
            <w:rStyle w:val="Hyperlink"/>
            <w:rFonts w:ascii="Times New Roman" w:hAnsi="Times New Roman" w:cs="Times New Roman"/>
            <w:sz w:val="22"/>
            <w:szCs w:val="22"/>
            <w:lang w:val="hr-HR"/>
          </w:rPr>
          <w:t>savjetovanje@pravos.hr</w:t>
        </w:r>
      </w:hyperlink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 na obrascu koji je sastavni dio ovog poziva.</w:t>
      </w:r>
    </w:p>
    <w:p w14:paraId="603363F9" w14:textId="77777777" w:rsidR="004716CF" w:rsidRPr="004716CF" w:rsidRDefault="004716CF" w:rsidP="00DF78A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E8F3BE6" w14:textId="77777777" w:rsidR="00DF78AE" w:rsidRPr="004716CF" w:rsidRDefault="00DF78AE" w:rsidP="00DF78AE">
      <w:pPr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>Radna skupina za izradu Pravilnika o mjerilima i načinu korištenja namjenskih prihoda, nenamjenskih donacija i vlastitih prihoda Pravnog fakulteta Osijek:</w:t>
      </w:r>
    </w:p>
    <w:p w14:paraId="47F9A45F" w14:textId="77777777" w:rsidR="00DF78AE" w:rsidRPr="004716CF" w:rsidRDefault="00DF78AE" w:rsidP="00DF78A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F23A4BB" w14:textId="18E7C745" w:rsidR="00DF78AE" w:rsidRPr="004716CF" w:rsidRDefault="00DF78AE" w:rsidP="00DF78A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>1. Izv. prof. dr. sc. Ante Novokmet, prodekan za razvoj i poslovanje, predsjednik</w:t>
      </w:r>
      <w:r w:rsidR="00C42374">
        <w:rPr>
          <w:rFonts w:ascii="Times New Roman" w:hAnsi="Times New Roman" w:cs="Times New Roman"/>
          <w:sz w:val="22"/>
          <w:szCs w:val="22"/>
          <w:lang w:val="hr-HR"/>
        </w:rPr>
        <w:t>, v. r.</w:t>
      </w:r>
    </w:p>
    <w:p w14:paraId="25737A12" w14:textId="0ED46462" w:rsidR="00DF78AE" w:rsidRPr="004716CF" w:rsidRDefault="00DF78AE" w:rsidP="00DF78A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7C86026" w14:textId="2E60D5A9" w:rsidR="00DF78AE" w:rsidRPr="004716CF" w:rsidRDefault="00DF78AE" w:rsidP="00DF78A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>2. Prof. dr. sc. Boris Ljubanović, član</w:t>
      </w:r>
      <w:r w:rsidR="00C42374">
        <w:rPr>
          <w:rFonts w:ascii="Times New Roman" w:hAnsi="Times New Roman" w:cs="Times New Roman"/>
          <w:sz w:val="22"/>
          <w:szCs w:val="22"/>
          <w:lang w:val="hr-HR"/>
        </w:rPr>
        <w:t>, v. r.</w:t>
      </w:r>
    </w:p>
    <w:p w14:paraId="3FB12858" w14:textId="77777777" w:rsidR="00DF78AE" w:rsidRPr="004716CF" w:rsidRDefault="00DF78AE" w:rsidP="00DF78A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A657F74" w14:textId="441AF5A2" w:rsidR="00DF78AE" w:rsidRPr="004716CF" w:rsidRDefault="00DF78AE" w:rsidP="00DF78A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>3. Prof. dr. sc. Renata Perić, člani</w:t>
      </w:r>
      <w:r w:rsidR="000B2A59">
        <w:rPr>
          <w:rFonts w:ascii="Times New Roman" w:hAnsi="Times New Roman" w:cs="Times New Roman"/>
          <w:sz w:val="22"/>
          <w:szCs w:val="22"/>
          <w:lang w:val="hr-HR"/>
        </w:rPr>
        <w:t>ca</w:t>
      </w:r>
      <w:r w:rsidR="00C42374">
        <w:rPr>
          <w:rFonts w:ascii="Times New Roman" w:hAnsi="Times New Roman" w:cs="Times New Roman"/>
          <w:sz w:val="22"/>
          <w:szCs w:val="22"/>
          <w:lang w:val="hr-HR"/>
        </w:rPr>
        <w:t>. v. r.</w:t>
      </w:r>
    </w:p>
    <w:p w14:paraId="47478430" w14:textId="77777777" w:rsidR="00DF78AE" w:rsidRPr="004716CF" w:rsidRDefault="00DF78AE" w:rsidP="00DF78A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DA70AF8" w14:textId="22C1289E" w:rsidR="00DF78AE" w:rsidRPr="004716CF" w:rsidRDefault="00DF78AE" w:rsidP="00DF78A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>4. Prof. dr. sc. Dubravka Akšamović, članica</w:t>
      </w:r>
      <w:r w:rsidR="00C42374">
        <w:rPr>
          <w:rFonts w:ascii="Times New Roman" w:hAnsi="Times New Roman" w:cs="Times New Roman"/>
          <w:sz w:val="22"/>
          <w:szCs w:val="22"/>
          <w:lang w:val="hr-HR"/>
        </w:rPr>
        <w:t>, v. r.</w:t>
      </w:r>
    </w:p>
    <w:p w14:paraId="744BED8F" w14:textId="77777777" w:rsidR="00DF78AE" w:rsidRPr="004716CF" w:rsidRDefault="00DF78AE" w:rsidP="00DF78A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4C3863A" w14:textId="7332F9F5" w:rsidR="00DF78AE" w:rsidRDefault="00DF78AE" w:rsidP="00DF78A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>5. Izv. prof. dr. sc. Emina Jerković, članica</w:t>
      </w:r>
      <w:r w:rsidR="00C42374">
        <w:rPr>
          <w:rFonts w:ascii="Times New Roman" w:hAnsi="Times New Roman" w:cs="Times New Roman"/>
          <w:sz w:val="22"/>
          <w:szCs w:val="22"/>
          <w:lang w:val="hr-HR"/>
        </w:rPr>
        <w:t>, v. r.</w:t>
      </w:r>
    </w:p>
    <w:p w14:paraId="5DBAA90A" w14:textId="77777777" w:rsidR="00CF1BD0" w:rsidRDefault="00CF1BD0">
      <w:pPr>
        <w:widowControl/>
        <w:suppressAutoHyphens w:val="0"/>
        <w:rPr>
          <w:rFonts w:ascii="Times New Roman" w:hAnsi="Times New Roman" w:cs="Times New Roman"/>
          <w:sz w:val="22"/>
          <w:szCs w:val="22"/>
          <w:lang w:val="hr-HR"/>
        </w:rPr>
        <w:sectPr w:rsidR="00CF1BD0" w:rsidSect="004716CF">
          <w:headerReference w:type="default" r:id="rId8"/>
          <w:footerReference w:type="default" r:id="rId9"/>
          <w:pgSz w:w="11906" w:h="16838"/>
          <w:pgMar w:top="1134" w:right="1134" w:bottom="1693" w:left="1134" w:header="1134" w:footer="1134" w:gutter="0"/>
          <w:cols w:space="720"/>
        </w:sectPr>
      </w:pPr>
    </w:p>
    <w:p w14:paraId="1C5D9907" w14:textId="5CF3C789" w:rsidR="00CF1BD0" w:rsidRDefault="00CF1BD0">
      <w:pPr>
        <w:widowControl/>
        <w:suppressAutoHyphens w:val="0"/>
        <w:rPr>
          <w:rFonts w:ascii="Times New Roman" w:hAnsi="Times New Roman" w:cs="Times New Roman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CF1BD0" w:rsidRPr="00CF1BD0" w14:paraId="4094533F" w14:textId="77777777" w:rsidTr="002C19CA">
        <w:trPr>
          <w:trHeight w:val="1266"/>
        </w:trPr>
        <w:tc>
          <w:tcPr>
            <w:tcW w:w="3397" w:type="dxa"/>
            <w:tcBorders>
              <w:right w:val="nil"/>
            </w:tcBorders>
          </w:tcPr>
          <w:p w14:paraId="345D7BB3" w14:textId="77777777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noProof/>
                <w:kern w:val="2"/>
                <w:sz w:val="22"/>
                <w:szCs w:val="22"/>
                <w:lang w:val="hr-HR" w:eastAsia="en-US" w:bidi="ar-SA"/>
              </w:rPr>
              <w:drawing>
                <wp:anchor distT="0" distB="0" distL="114300" distR="114300" simplePos="0" relativeHeight="251659264" behindDoc="0" locked="0" layoutInCell="1" allowOverlap="1" wp14:anchorId="5890242F" wp14:editId="5E1C54E4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53663</wp:posOffset>
                  </wp:positionV>
                  <wp:extent cx="1259457" cy="701289"/>
                  <wp:effectExtent l="0" t="0" r="0" b="3810"/>
                  <wp:wrapNone/>
                  <wp:docPr id="719652524" name="Picture 1" descr="A blue and grey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652524" name="Picture 1" descr="A blue and grey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457" cy="70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015F3EA6" w14:textId="77777777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 Display" w:eastAsia="Aptos" w:hAnsi="Aptos Display" w:cs="Arial"/>
                <w:kern w:val="2"/>
                <w:lang w:val="hr-HR" w:eastAsia="en-US" w:bidi="ar-SA"/>
              </w:rPr>
            </w:pPr>
            <w:r w:rsidRPr="00CF1BD0">
              <w:rPr>
                <w:rFonts w:ascii="Aptos Display" w:eastAsia="Aptos" w:hAnsi="Aptos Display" w:cs="Arial"/>
                <w:kern w:val="2"/>
                <w:lang w:val="hr-HR" w:eastAsia="en-US" w:bidi="ar-SA"/>
              </w:rPr>
              <w:t>SVEUČILIŠTE JOSIPA JURJA STROSSMAYERA U OSIJEKU</w:t>
            </w:r>
          </w:p>
          <w:p w14:paraId="3DF317C2" w14:textId="77777777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 Display" w:eastAsia="Aptos" w:hAnsi="Aptos Display" w:cs="Arial"/>
                <w:b/>
                <w:bCs/>
                <w:kern w:val="2"/>
                <w:lang w:val="hr-HR" w:eastAsia="en-US" w:bidi="ar-SA"/>
              </w:rPr>
            </w:pPr>
            <w:r w:rsidRPr="00CF1BD0">
              <w:rPr>
                <w:rFonts w:ascii="Aptos Display" w:eastAsia="Aptos" w:hAnsi="Aptos Display" w:cs="Arial"/>
                <w:b/>
                <w:bCs/>
                <w:kern w:val="2"/>
                <w:lang w:val="hr-HR" w:eastAsia="en-US" w:bidi="ar-SA"/>
              </w:rPr>
              <w:t>PRAVNI FAKULTET OSIJEK</w:t>
            </w:r>
          </w:p>
          <w:p w14:paraId="31E342D2" w14:textId="77777777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 Display" w:eastAsia="Aptos" w:hAnsi="Aptos Display" w:cs="Arial"/>
                <w:kern w:val="2"/>
                <w:lang w:val="hr-HR" w:eastAsia="en-US" w:bidi="ar-SA"/>
              </w:rPr>
            </w:pPr>
            <w:r w:rsidRPr="00CF1BD0">
              <w:rPr>
                <w:rFonts w:ascii="Aptos Display" w:eastAsia="Aptos" w:hAnsi="Aptos Display" w:cs="Arial"/>
                <w:kern w:val="2"/>
                <w:lang w:val="hr-HR" w:eastAsia="en-US" w:bidi="ar-SA"/>
              </w:rPr>
              <w:t>STJEPANA RADIĆA 13</w:t>
            </w:r>
          </w:p>
          <w:p w14:paraId="76875351" w14:textId="77777777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 Display" w:eastAsia="Aptos" w:hAnsi="Aptos Display" w:cs="Arial"/>
                <w:kern w:val="2"/>
                <w:lang w:val="hr-HR" w:eastAsia="en-US" w:bidi="ar-SA"/>
              </w:rPr>
              <w:t>31000 OSIJEK</w:t>
            </w:r>
          </w:p>
        </w:tc>
      </w:tr>
      <w:tr w:rsidR="00CF1BD0" w:rsidRPr="00CF1BD0" w14:paraId="40E562FB" w14:textId="77777777" w:rsidTr="002C19CA">
        <w:trPr>
          <w:trHeight w:val="1071"/>
        </w:trPr>
        <w:tc>
          <w:tcPr>
            <w:tcW w:w="9350" w:type="dxa"/>
            <w:gridSpan w:val="2"/>
            <w:shd w:val="clear" w:color="auto" w:fill="FFFFCC"/>
            <w:vAlign w:val="center"/>
          </w:tcPr>
          <w:p w14:paraId="154A6571" w14:textId="77777777" w:rsidR="00CF1BD0" w:rsidRPr="00771A6D" w:rsidRDefault="00CF1BD0" w:rsidP="00CF1BD0">
            <w:pPr>
              <w:widowControl/>
              <w:suppressAutoHyphens w:val="0"/>
              <w:jc w:val="center"/>
              <w:rPr>
                <w:rFonts w:asciiTheme="majorHAnsi" w:eastAsia="Aptos" w:hAnsiTheme="majorHAnsi" w:cs="Arial"/>
                <w:b/>
                <w:bCs/>
                <w:kern w:val="2"/>
                <w:lang w:val="hr-HR" w:eastAsia="en-US" w:bidi="ar-SA"/>
              </w:rPr>
            </w:pPr>
            <w:r w:rsidRPr="00771A6D">
              <w:rPr>
                <w:rFonts w:asciiTheme="majorHAnsi" w:eastAsia="Aptos" w:hAnsiTheme="majorHAnsi" w:cs="Arial"/>
                <w:b/>
                <w:bCs/>
                <w:kern w:val="2"/>
                <w:lang w:val="hr-HR" w:eastAsia="en-US" w:bidi="ar-SA"/>
              </w:rPr>
              <w:t>OBRAZAC</w:t>
            </w:r>
          </w:p>
          <w:p w14:paraId="62225373" w14:textId="77777777" w:rsidR="00CF1BD0" w:rsidRPr="00771A6D" w:rsidRDefault="00CF1BD0" w:rsidP="00CF1BD0">
            <w:pPr>
              <w:widowControl/>
              <w:suppressAutoHyphens w:val="0"/>
              <w:jc w:val="center"/>
              <w:rPr>
                <w:rFonts w:asciiTheme="majorHAnsi" w:eastAsia="Aptos" w:hAnsiTheme="majorHAnsi" w:cs="Arial"/>
                <w:kern w:val="2"/>
                <w:lang w:val="hr-HR" w:eastAsia="en-US" w:bidi="ar-SA"/>
              </w:rPr>
            </w:pPr>
            <w:r w:rsidRPr="00771A6D">
              <w:rPr>
                <w:rFonts w:asciiTheme="majorHAnsi" w:eastAsia="Aptos" w:hAnsiTheme="majorHAnsi" w:cs="Arial"/>
                <w:kern w:val="2"/>
                <w:lang w:val="hr-HR" w:eastAsia="en-US" w:bidi="ar-SA"/>
              </w:rPr>
              <w:t>za sudjelovanje u postupku savjetovanja s javnošću o</w:t>
            </w:r>
          </w:p>
          <w:p w14:paraId="59E853D8" w14:textId="3CB908E4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" w:eastAsia="Aptos" w:hAnsi="Aptos" w:cs="Arial"/>
                <w:kern w:val="2"/>
                <w:lang w:val="hr-HR" w:eastAsia="en-US" w:bidi="ar-SA"/>
              </w:rPr>
            </w:pPr>
            <w:r w:rsidRPr="00771A6D">
              <w:rPr>
                <w:rFonts w:asciiTheme="majorHAnsi" w:eastAsia="Aptos" w:hAnsiTheme="majorHAnsi" w:cs="Arial"/>
                <w:b/>
                <w:bCs/>
                <w:kern w:val="2"/>
                <w:lang w:val="hr-HR" w:eastAsia="en-US" w:bidi="ar-SA"/>
              </w:rPr>
              <w:t>Nacrtu prijedloga Pravilnika o mjerilima i načinu korištenja namjenskih prihoda, nenamjenskih donacija i vlastitih prihoda</w:t>
            </w:r>
          </w:p>
        </w:tc>
      </w:tr>
      <w:tr w:rsidR="00CF1BD0" w:rsidRPr="00CF1BD0" w14:paraId="23192047" w14:textId="77777777" w:rsidTr="002C19CA">
        <w:trPr>
          <w:trHeight w:val="1411"/>
        </w:trPr>
        <w:tc>
          <w:tcPr>
            <w:tcW w:w="3397" w:type="dxa"/>
            <w:shd w:val="clear" w:color="auto" w:fill="FFFFCC"/>
            <w:vAlign w:val="center"/>
          </w:tcPr>
          <w:p w14:paraId="3B130509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Podnositelj</w:t>
            </w:r>
          </w:p>
          <w:p w14:paraId="63B4F98B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(ime i prezime fizičke osobe, odnosno naziv pravne osobe i ime osobe koja podnosi prijedlog ili mišljenje za pravnu osobu)</w:t>
            </w:r>
          </w:p>
        </w:tc>
        <w:tc>
          <w:tcPr>
            <w:tcW w:w="5953" w:type="dxa"/>
          </w:tcPr>
          <w:p w14:paraId="30D62A14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23F55934" w14:textId="77777777" w:rsidTr="002C19CA">
        <w:trPr>
          <w:trHeight w:val="977"/>
        </w:trPr>
        <w:tc>
          <w:tcPr>
            <w:tcW w:w="3397" w:type="dxa"/>
            <w:shd w:val="clear" w:color="auto" w:fill="FFFFCC"/>
            <w:vAlign w:val="center"/>
          </w:tcPr>
          <w:p w14:paraId="15F8038F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Kategorija dionika</w:t>
            </w:r>
          </w:p>
          <w:p w14:paraId="66AD4E87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(studenti, nastavnici, stručno osoblje, </w:t>
            </w:r>
            <w:proofErr w:type="spellStart"/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alumni</w:t>
            </w:r>
            <w:proofErr w:type="spellEnd"/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, poslodavci, itd.)</w:t>
            </w:r>
          </w:p>
        </w:tc>
        <w:tc>
          <w:tcPr>
            <w:tcW w:w="5953" w:type="dxa"/>
          </w:tcPr>
          <w:p w14:paraId="21AA791F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44EB688A" w14:textId="77777777" w:rsidTr="002C19CA">
        <w:trPr>
          <w:trHeight w:val="425"/>
        </w:trPr>
        <w:tc>
          <w:tcPr>
            <w:tcW w:w="9350" w:type="dxa"/>
            <w:gridSpan w:val="2"/>
            <w:shd w:val="clear" w:color="auto" w:fill="FFFFCC"/>
            <w:vAlign w:val="center"/>
          </w:tcPr>
          <w:p w14:paraId="166BE98C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Načelni prijedlozi i mišljenje na nacrt dokumenta</w:t>
            </w:r>
          </w:p>
        </w:tc>
      </w:tr>
      <w:tr w:rsidR="00CF1BD0" w:rsidRPr="00CF1BD0" w14:paraId="72208874" w14:textId="77777777" w:rsidTr="00CF1BD0">
        <w:trPr>
          <w:trHeight w:val="832"/>
        </w:trPr>
        <w:tc>
          <w:tcPr>
            <w:tcW w:w="9350" w:type="dxa"/>
            <w:gridSpan w:val="2"/>
          </w:tcPr>
          <w:p w14:paraId="16165751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0C89076A" w14:textId="77777777" w:rsidTr="00CF1BD0">
        <w:trPr>
          <w:trHeight w:val="395"/>
        </w:trPr>
        <w:tc>
          <w:tcPr>
            <w:tcW w:w="9350" w:type="dxa"/>
            <w:gridSpan w:val="2"/>
            <w:tcBorders>
              <w:bottom w:val="single" w:sz="4" w:space="0" w:color="808080"/>
            </w:tcBorders>
            <w:shd w:val="clear" w:color="auto" w:fill="FFFFCC"/>
            <w:vAlign w:val="center"/>
          </w:tcPr>
          <w:p w14:paraId="651FB5A9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Primjedbe na pojedine članke ili dijelove nacrta akta ili dokumenta (navesti broj članka i/ili stavka)</w:t>
            </w:r>
          </w:p>
        </w:tc>
      </w:tr>
      <w:tr w:rsidR="00CF1BD0" w:rsidRPr="00CF1BD0" w14:paraId="6C68E13E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EE1A03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2C967D9D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9606FB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38BDFA19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5DACE1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38FBEE81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305A0F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B63334" w:rsidRPr="00CF1BD0" w14:paraId="727FBBB7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3E779E" w14:textId="77777777" w:rsidR="00B63334" w:rsidRPr="00CF1BD0" w:rsidRDefault="00B63334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0C1C1476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F9AAD9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711AEE2D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7A0B93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2187C3BF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49AD3D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27870DFA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6D2DE8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60439FDD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2FEA7E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2E23AF77" w14:textId="77777777" w:rsidTr="00CF1BD0">
        <w:trPr>
          <w:trHeight w:val="459"/>
        </w:trPr>
        <w:tc>
          <w:tcPr>
            <w:tcW w:w="3397" w:type="dxa"/>
            <w:tcBorders>
              <w:top w:val="single" w:sz="4" w:space="0" w:color="808080"/>
            </w:tcBorders>
            <w:shd w:val="clear" w:color="auto" w:fill="FFFFCC"/>
            <w:vAlign w:val="center"/>
          </w:tcPr>
          <w:p w14:paraId="1D58D50E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Datum dostavljanja obrasca</w:t>
            </w:r>
          </w:p>
        </w:tc>
        <w:tc>
          <w:tcPr>
            <w:tcW w:w="5953" w:type="dxa"/>
            <w:tcBorders>
              <w:top w:val="single" w:sz="4" w:space="0" w:color="808080"/>
            </w:tcBorders>
          </w:tcPr>
          <w:p w14:paraId="73F2368D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6E4A3C94" w14:textId="77777777" w:rsidTr="002C19CA">
        <w:tc>
          <w:tcPr>
            <w:tcW w:w="9350" w:type="dxa"/>
            <w:gridSpan w:val="2"/>
          </w:tcPr>
          <w:p w14:paraId="2A0F45F8" w14:textId="6BAD744A" w:rsidR="00CF1BD0" w:rsidRPr="00CF1BD0" w:rsidRDefault="00CF1BD0" w:rsidP="004219B5">
            <w:pPr>
              <w:widowControl/>
              <w:suppressAutoHyphens w:val="0"/>
              <w:spacing w:after="120"/>
              <w:jc w:val="both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Popunjeni obrazac potrebno je dostaviti zaključno do </w:t>
            </w:r>
            <w:r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27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. </w:t>
            </w:r>
            <w:r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prosinca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 202</w:t>
            </w:r>
            <w:r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4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. godine elektronskom poštom na adresu </w:t>
            </w:r>
            <w:hyperlink r:id="rId11" w:history="1">
              <w:r w:rsidRPr="00CF1BD0">
                <w:rPr>
                  <w:rFonts w:ascii="Aptos" w:eastAsia="Aptos" w:hAnsi="Aptos" w:cs="Arial"/>
                  <w:color w:val="467886"/>
                  <w:kern w:val="2"/>
                  <w:sz w:val="22"/>
                  <w:szCs w:val="22"/>
                  <w:u w:val="single"/>
                  <w:lang w:val="hr-HR" w:eastAsia="en-US" w:bidi="ar-SA"/>
                </w:rPr>
                <w:t>savjetovanje@pravos.hr</w:t>
              </w:r>
            </w:hyperlink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.</w:t>
            </w:r>
          </w:p>
          <w:p w14:paraId="26FBF77D" w14:textId="2C2E2B65" w:rsidR="00CF1BD0" w:rsidRPr="00CF1BD0" w:rsidRDefault="00CF1BD0" w:rsidP="004219B5">
            <w:pPr>
              <w:widowControl/>
              <w:suppressAutoHyphens w:val="0"/>
              <w:spacing w:after="12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Kontakt osoba: Službenik za informiranje, Marijan Dumančić, 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la-Latn" w:eastAsia="en-US" w:bidi="ar-SA"/>
              </w:rPr>
              <w:t>univ. spec. iur.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br/>
              <w:t xml:space="preserve">e-mail: </w:t>
            </w:r>
            <w:hyperlink r:id="rId12" w:history="1">
              <w:r w:rsidRPr="00CF1BD0">
                <w:rPr>
                  <w:rFonts w:ascii="Aptos" w:eastAsia="Aptos" w:hAnsi="Aptos" w:cs="Arial"/>
                  <w:color w:val="467886"/>
                  <w:kern w:val="2"/>
                  <w:sz w:val="22"/>
                  <w:szCs w:val="22"/>
                  <w:u w:val="single"/>
                  <w:lang w:val="hr-HR" w:eastAsia="en-US" w:bidi="ar-SA"/>
                </w:rPr>
                <w:t>mdumanci@pravos.hr</w:t>
              </w:r>
            </w:hyperlink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, tel. 031/224-571.</w:t>
            </w:r>
          </w:p>
          <w:p w14:paraId="2B523953" w14:textId="77777777" w:rsidR="00CF1BD0" w:rsidRPr="00CF1BD0" w:rsidRDefault="00CF1BD0" w:rsidP="004219B5">
            <w:pPr>
              <w:widowControl/>
              <w:suppressAutoHyphens w:val="0"/>
              <w:spacing w:after="120"/>
              <w:jc w:val="both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Svi pristigli doprinosi će biti razmotreni po završetku savjetovanja, te će biti prihvaćeni, neprihvaćeni ili primljeni na znanje uz obrazloženja koja su sastavnim dijelom Izvješća o savjetovanju s javnošću.</w:t>
            </w:r>
          </w:p>
          <w:p w14:paraId="0C6DE080" w14:textId="08C46B0C" w:rsidR="00CF1BD0" w:rsidRPr="00CF1BD0" w:rsidRDefault="00CF1BD0" w:rsidP="004219B5">
            <w:pPr>
              <w:widowControl/>
              <w:suppressAutoHyphens w:val="0"/>
              <w:spacing w:after="120"/>
              <w:jc w:val="both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Očekivani termin objave izvješća je </w:t>
            </w:r>
            <w:r w:rsidR="001E21B7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7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. </w:t>
            </w:r>
            <w:r w:rsidR="001E21B7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siječnja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 202</w:t>
            </w:r>
            <w:r w:rsidR="001E21B7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5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. godine, a isto će biti objavljeno na web stranici Pravnog fakulteta Osijek, na adresi </w:t>
            </w:r>
            <w:hyperlink r:id="rId13" w:history="1">
              <w:r w:rsidRPr="00CF1BD0">
                <w:rPr>
                  <w:rFonts w:ascii="Aptos" w:eastAsia="Aptos" w:hAnsi="Aptos" w:cs="Arial"/>
                  <w:color w:val="467886"/>
                  <w:kern w:val="2"/>
                  <w:sz w:val="22"/>
                  <w:szCs w:val="22"/>
                  <w:u w:val="single"/>
                  <w:lang w:val="hr-HR" w:eastAsia="en-US" w:bidi="ar-SA"/>
                </w:rPr>
                <w:t>https://www.pravos.unios.hr/savjetovanje-s-javnoscu/</w:t>
              </w:r>
            </w:hyperlink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.</w:t>
            </w:r>
          </w:p>
        </w:tc>
      </w:tr>
    </w:tbl>
    <w:p w14:paraId="00A52AFE" w14:textId="77777777" w:rsidR="00CF1BD0" w:rsidRPr="004716CF" w:rsidRDefault="00CF1BD0" w:rsidP="00DF78A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sectPr w:rsidR="00CF1BD0" w:rsidRPr="004716CF" w:rsidSect="00CF1BD0">
      <w:pgSz w:w="11906" w:h="16838"/>
      <w:pgMar w:top="1134" w:right="1134" w:bottom="1693" w:left="1134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ED181" w14:textId="77777777" w:rsidR="00CD4951" w:rsidRDefault="00CD4951">
      <w:r>
        <w:separator/>
      </w:r>
    </w:p>
  </w:endnote>
  <w:endnote w:type="continuationSeparator" w:id="0">
    <w:p w14:paraId="554BE087" w14:textId="77777777" w:rsidR="00CD4951" w:rsidRDefault="00CD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0129A" w14:textId="7B029CC3" w:rsidR="00FE37BD" w:rsidRDefault="00635B9E">
    <w:pPr>
      <w:pStyle w:val="Footer"/>
    </w:pPr>
    <w:r>
      <w:rPr>
        <w:noProof/>
      </w:rPr>
      <w:drawing>
        <wp:anchor distT="0" distB="0" distL="0" distR="0" simplePos="0" relativeHeight="251658240" behindDoc="0" locked="0" layoutInCell="1" allowOverlap="1" wp14:anchorId="79FDCBCC" wp14:editId="1CB00AE9">
          <wp:simplePos x="0" y="0"/>
          <wp:positionH relativeFrom="column">
            <wp:align>center</wp:align>
          </wp:positionH>
          <wp:positionV relativeFrom="paragraph">
            <wp:posOffset>-14605</wp:posOffset>
          </wp:positionV>
          <wp:extent cx="7537450" cy="590550"/>
          <wp:effectExtent l="0" t="0" r="6350" b="0"/>
          <wp:wrapSquare wrapText="largest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56"/>
                  <a:stretch/>
                </pic:blipFill>
                <pic:spPr bwMode="auto">
                  <a:xfrm>
                    <a:off x="0" y="0"/>
                    <a:ext cx="7537450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D2801" w14:textId="77777777" w:rsidR="00CD4951" w:rsidRDefault="00CD4951">
      <w:r>
        <w:separator/>
      </w:r>
    </w:p>
  </w:footnote>
  <w:footnote w:type="continuationSeparator" w:id="0">
    <w:p w14:paraId="673DE197" w14:textId="77777777" w:rsidR="00CD4951" w:rsidRDefault="00CD4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7F5D7" w14:textId="5845831C" w:rsidR="00FE37BD" w:rsidRDefault="00635B9E">
    <w:pPr>
      <w:pStyle w:val="Header"/>
    </w:pPr>
    <w:bookmarkStart w:id="0" w:name="_Hlk178765262"/>
    <w:bookmarkStart w:id="1" w:name="_Hlk178765263"/>
    <w:r>
      <w:rPr>
        <w:noProof/>
      </w:rPr>
      <w:drawing>
        <wp:anchor distT="0" distB="0" distL="0" distR="0" simplePos="0" relativeHeight="251657216" behindDoc="0" locked="0" layoutInCell="1" allowOverlap="1" wp14:anchorId="57267906" wp14:editId="51918FC6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675" cy="1010285"/>
          <wp:effectExtent l="0" t="0" r="0" b="0"/>
          <wp:wrapSquare wrapText="largest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10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C34B6"/>
    <w:multiLevelType w:val="hybridMultilevel"/>
    <w:tmpl w:val="C9CC52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906BD9"/>
    <w:multiLevelType w:val="hybridMultilevel"/>
    <w:tmpl w:val="AC502D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A7048"/>
    <w:multiLevelType w:val="hybridMultilevel"/>
    <w:tmpl w:val="7DDE49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A96C85"/>
    <w:multiLevelType w:val="hybridMultilevel"/>
    <w:tmpl w:val="4EF6AE9A"/>
    <w:lvl w:ilvl="0" w:tplc="F394218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26711B"/>
    <w:multiLevelType w:val="hybridMultilevel"/>
    <w:tmpl w:val="CF30F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A05CF"/>
    <w:multiLevelType w:val="multilevel"/>
    <w:tmpl w:val="182C9A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30D93E05"/>
    <w:multiLevelType w:val="hybridMultilevel"/>
    <w:tmpl w:val="BD82CBC4"/>
    <w:lvl w:ilvl="0" w:tplc="AA92109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F06862"/>
    <w:multiLevelType w:val="hybridMultilevel"/>
    <w:tmpl w:val="537E9772"/>
    <w:lvl w:ilvl="0" w:tplc="ED30D4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26B29"/>
    <w:multiLevelType w:val="hybridMultilevel"/>
    <w:tmpl w:val="E110D07E"/>
    <w:lvl w:ilvl="0" w:tplc="76ECC0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FE27E9"/>
    <w:multiLevelType w:val="hybridMultilevel"/>
    <w:tmpl w:val="8C48460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FC4CE9"/>
    <w:multiLevelType w:val="hybridMultilevel"/>
    <w:tmpl w:val="8C16C6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4C65F3"/>
    <w:multiLevelType w:val="multilevel"/>
    <w:tmpl w:val="6E5C47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5C027469"/>
    <w:multiLevelType w:val="hybridMultilevel"/>
    <w:tmpl w:val="03B696F2"/>
    <w:lvl w:ilvl="0" w:tplc="05F83D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50207"/>
    <w:multiLevelType w:val="hybridMultilevel"/>
    <w:tmpl w:val="2110DED0"/>
    <w:lvl w:ilvl="0" w:tplc="D02822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E5378"/>
    <w:multiLevelType w:val="hybridMultilevel"/>
    <w:tmpl w:val="A1EA379A"/>
    <w:lvl w:ilvl="0" w:tplc="F17EEF86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FD343FD"/>
    <w:multiLevelType w:val="hybridMultilevel"/>
    <w:tmpl w:val="28046FF6"/>
    <w:lvl w:ilvl="0" w:tplc="4B0ED3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526D4"/>
    <w:multiLevelType w:val="hybridMultilevel"/>
    <w:tmpl w:val="9FE0D780"/>
    <w:lvl w:ilvl="0" w:tplc="729EAAE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07A97"/>
    <w:multiLevelType w:val="hybridMultilevel"/>
    <w:tmpl w:val="7F44E3E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3B2ECB"/>
    <w:multiLevelType w:val="hybridMultilevel"/>
    <w:tmpl w:val="D5E651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F290CEB"/>
    <w:multiLevelType w:val="multilevel"/>
    <w:tmpl w:val="985EF48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 w16cid:durableId="2122843585">
    <w:abstractNumId w:val="12"/>
  </w:num>
  <w:num w:numId="2" w16cid:durableId="2071690958">
    <w:abstractNumId w:val="1"/>
  </w:num>
  <w:num w:numId="3" w16cid:durableId="2028482963">
    <w:abstractNumId w:val="6"/>
  </w:num>
  <w:num w:numId="4" w16cid:durableId="455417355">
    <w:abstractNumId w:val="8"/>
  </w:num>
  <w:num w:numId="5" w16cid:durableId="1318419185">
    <w:abstractNumId w:val="15"/>
  </w:num>
  <w:num w:numId="6" w16cid:durableId="1236740672">
    <w:abstractNumId w:val="14"/>
  </w:num>
  <w:num w:numId="7" w16cid:durableId="41709061">
    <w:abstractNumId w:val="13"/>
  </w:num>
  <w:num w:numId="8" w16cid:durableId="156770363">
    <w:abstractNumId w:val="3"/>
  </w:num>
  <w:num w:numId="9" w16cid:durableId="572930839">
    <w:abstractNumId w:val="7"/>
  </w:num>
  <w:num w:numId="10" w16cid:durableId="317029819">
    <w:abstractNumId w:val="4"/>
  </w:num>
  <w:num w:numId="11" w16cid:durableId="1194463078">
    <w:abstractNumId w:val="16"/>
  </w:num>
  <w:num w:numId="12" w16cid:durableId="2071999952">
    <w:abstractNumId w:val="10"/>
  </w:num>
  <w:num w:numId="13" w16cid:durableId="696153877">
    <w:abstractNumId w:val="0"/>
  </w:num>
  <w:num w:numId="14" w16cid:durableId="1117408431">
    <w:abstractNumId w:val="18"/>
  </w:num>
  <w:num w:numId="15" w16cid:durableId="602149990">
    <w:abstractNumId w:val="11"/>
  </w:num>
  <w:num w:numId="16" w16cid:durableId="812600044">
    <w:abstractNumId w:val="19"/>
  </w:num>
  <w:num w:numId="17" w16cid:durableId="2061394251">
    <w:abstractNumId w:val="9"/>
  </w:num>
  <w:num w:numId="18" w16cid:durableId="998920140">
    <w:abstractNumId w:val="2"/>
  </w:num>
  <w:num w:numId="19" w16cid:durableId="2132094634">
    <w:abstractNumId w:val="5"/>
  </w:num>
  <w:num w:numId="20" w16cid:durableId="17443304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1B"/>
    <w:rsid w:val="000102EC"/>
    <w:rsid w:val="00015470"/>
    <w:rsid w:val="00055308"/>
    <w:rsid w:val="000A0955"/>
    <w:rsid w:val="000B2A59"/>
    <w:rsid w:val="000D489C"/>
    <w:rsid w:val="001057DA"/>
    <w:rsid w:val="00117C88"/>
    <w:rsid w:val="00123091"/>
    <w:rsid w:val="00123EC1"/>
    <w:rsid w:val="001373BF"/>
    <w:rsid w:val="001E21B7"/>
    <w:rsid w:val="001E447A"/>
    <w:rsid w:val="002B7C23"/>
    <w:rsid w:val="002B7C95"/>
    <w:rsid w:val="00320A1D"/>
    <w:rsid w:val="003309FE"/>
    <w:rsid w:val="0036540C"/>
    <w:rsid w:val="00386476"/>
    <w:rsid w:val="00386E01"/>
    <w:rsid w:val="003C457D"/>
    <w:rsid w:val="004219B5"/>
    <w:rsid w:val="004716CF"/>
    <w:rsid w:val="004E0CDF"/>
    <w:rsid w:val="00502D28"/>
    <w:rsid w:val="0053255C"/>
    <w:rsid w:val="0053331A"/>
    <w:rsid w:val="005561F2"/>
    <w:rsid w:val="00572160"/>
    <w:rsid w:val="005D28C5"/>
    <w:rsid w:val="005E108B"/>
    <w:rsid w:val="00635B9E"/>
    <w:rsid w:val="006903FA"/>
    <w:rsid w:val="0071260A"/>
    <w:rsid w:val="007531C2"/>
    <w:rsid w:val="00763153"/>
    <w:rsid w:val="00771A6D"/>
    <w:rsid w:val="007A64E1"/>
    <w:rsid w:val="007C4475"/>
    <w:rsid w:val="00906032"/>
    <w:rsid w:val="00936DF3"/>
    <w:rsid w:val="00941084"/>
    <w:rsid w:val="00A14A74"/>
    <w:rsid w:val="00A72ABC"/>
    <w:rsid w:val="00AA0243"/>
    <w:rsid w:val="00B07D6B"/>
    <w:rsid w:val="00B63334"/>
    <w:rsid w:val="00B7078D"/>
    <w:rsid w:val="00B82C89"/>
    <w:rsid w:val="00B9552B"/>
    <w:rsid w:val="00BA041B"/>
    <w:rsid w:val="00C10FE5"/>
    <w:rsid w:val="00C13E25"/>
    <w:rsid w:val="00C42374"/>
    <w:rsid w:val="00C51A22"/>
    <w:rsid w:val="00C97641"/>
    <w:rsid w:val="00CD4951"/>
    <w:rsid w:val="00CF1BD0"/>
    <w:rsid w:val="00D56FBD"/>
    <w:rsid w:val="00D86BFF"/>
    <w:rsid w:val="00D952FD"/>
    <w:rsid w:val="00DA601F"/>
    <w:rsid w:val="00DB3EE2"/>
    <w:rsid w:val="00DD3A4B"/>
    <w:rsid w:val="00DF78AE"/>
    <w:rsid w:val="00E5546C"/>
    <w:rsid w:val="00EB4600"/>
    <w:rsid w:val="00F16716"/>
    <w:rsid w:val="00F615AA"/>
    <w:rsid w:val="00F9668D"/>
    <w:rsid w:val="00FB026B"/>
    <w:rsid w:val="00FC544A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7795F0"/>
  <w15:chartTrackingRefBased/>
  <w15:docId w15:val="{E1BE4836-F044-4420-8625-CB189ED0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hr-BA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NoSpacing">
    <w:name w:val="No Spacing"/>
    <w:uiPriority w:val="1"/>
    <w:qFormat/>
    <w:rsid w:val="00AA0243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aliases w:val="Course Objective"/>
    <w:basedOn w:val="Normal"/>
    <w:link w:val="ListParagraphChar"/>
    <w:uiPriority w:val="34"/>
    <w:qFormat/>
    <w:rsid w:val="00386476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hr-HR" w:eastAsia="en-US" w:bidi="ar-SA"/>
    </w:rPr>
  </w:style>
  <w:style w:type="paragraph" w:styleId="NormalWeb">
    <w:name w:val="Normal (Web)"/>
    <w:basedOn w:val="Normal"/>
    <w:uiPriority w:val="99"/>
    <w:unhideWhenUsed/>
    <w:rsid w:val="0038647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hr-HR" w:eastAsia="en-GB" w:bidi="ar-SA"/>
    </w:rPr>
  </w:style>
  <w:style w:type="character" w:customStyle="1" w:styleId="HeaderChar">
    <w:name w:val="Header Char"/>
    <w:link w:val="Header"/>
    <w:rsid w:val="00386476"/>
    <w:rPr>
      <w:rFonts w:ascii="Liberation Serif" w:eastAsia="SimSun" w:hAnsi="Liberation Serif" w:cs="Mangal"/>
      <w:kern w:val="1"/>
      <w:sz w:val="24"/>
      <w:szCs w:val="24"/>
      <w:lang w:val="hr-BA" w:eastAsia="zh-CN" w:bidi="hi-IN"/>
    </w:rPr>
  </w:style>
  <w:style w:type="character" w:customStyle="1" w:styleId="ListParagraphChar">
    <w:name w:val="List Paragraph Char"/>
    <w:aliases w:val="Course Objective Char"/>
    <w:link w:val="ListParagraph"/>
    <w:uiPriority w:val="34"/>
    <w:locked/>
    <w:rsid w:val="000D489C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DF78A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F78A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A22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1A22"/>
    <w:rPr>
      <w:rFonts w:ascii="Segoe UI" w:eastAsia="SimSun" w:hAnsi="Segoe UI" w:cs="Mangal"/>
      <w:kern w:val="1"/>
      <w:sz w:val="18"/>
      <w:szCs w:val="16"/>
      <w:lang w:val="hr-BA" w:eastAsia="zh-CN" w:bidi="hi-IN"/>
    </w:rPr>
  </w:style>
  <w:style w:type="table" w:styleId="TableGrid">
    <w:name w:val="Table Grid"/>
    <w:basedOn w:val="TableNormal"/>
    <w:uiPriority w:val="39"/>
    <w:rsid w:val="00CF1BD0"/>
    <w:rPr>
      <w:rFonts w:ascii="Aptos" w:eastAsia="Aptos" w:hAnsi="Aptos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pravos.unios.hr/savjetovanje-s-javnosc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vjetovanje@pravos.hr" TargetMode="External"/><Relationship Id="rId12" Type="http://schemas.openxmlformats.org/officeDocument/2006/relationships/hyperlink" Target="mailto:mdumanci@prav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vjetovanje@pravos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Links>
    <vt:vector size="6" baseType="variant">
      <vt:variant>
        <vt:i4>3735576</vt:i4>
      </vt:variant>
      <vt:variant>
        <vt:i4>0</vt:i4>
      </vt:variant>
      <vt:variant>
        <vt:i4>0</vt:i4>
      </vt:variant>
      <vt:variant>
        <vt:i4>5</vt:i4>
      </vt:variant>
      <vt:variant>
        <vt:lpwstr>mailto:savjetovanje@pravos.hr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mjerilima i načinu korištenja namjenskih prihoda nenamjenskih donacija i vlastitih prihoda</dc:title>
  <dc:subject/>
  <dc:creator>Ante Novokmet</dc:creator>
  <cp:keywords/>
  <cp:lastModifiedBy>Marijan Dumančić</cp:lastModifiedBy>
  <cp:revision>8</cp:revision>
  <cp:lastPrinted>2024-11-27T09:13:00Z</cp:lastPrinted>
  <dcterms:created xsi:type="dcterms:W3CDTF">2024-11-27T13:28:00Z</dcterms:created>
  <dcterms:modified xsi:type="dcterms:W3CDTF">2024-11-27T13:47:00Z</dcterms:modified>
</cp:coreProperties>
</file>