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BF5CB0" w14:textId="59230003" w:rsidR="007531C2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A077E" w:rsidRPr="000A077E">
        <w:rPr>
          <w:rFonts w:ascii="Times New Roman" w:hAnsi="Times New Roman" w:cs="Times New Roman"/>
          <w:sz w:val="22"/>
          <w:szCs w:val="22"/>
          <w:lang w:val="hr-HR"/>
        </w:rPr>
        <w:t>007-01/2</w:t>
      </w:r>
      <w:r w:rsidR="000A077E">
        <w:rPr>
          <w:rFonts w:ascii="Times New Roman" w:hAnsi="Times New Roman" w:cs="Times New Roman"/>
          <w:sz w:val="22"/>
          <w:szCs w:val="22"/>
          <w:lang w:val="hr-HR"/>
        </w:rPr>
        <w:t>5</w:t>
      </w:r>
      <w:r w:rsidR="000A077E" w:rsidRPr="000A077E">
        <w:rPr>
          <w:rFonts w:ascii="Times New Roman" w:hAnsi="Times New Roman" w:cs="Times New Roman"/>
          <w:sz w:val="22"/>
          <w:szCs w:val="22"/>
          <w:lang w:val="hr-HR"/>
        </w:rPr>
        <w:t>-02/</w:t>
      </w:r>
      <w:r w:rsidR="000A077E" w:rsidRPr="00DE5594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4053B403" w14:textId="756A7425" w:rsidR="00117C88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URBROJ: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A077E" w:rsidRPr="000A077E">
        <w:rPr>
          <w:rFonts w:ascii="Times New Roman" w:hAnsi="Times New Roman" w:cs="Times New Roman"/>
          <w:sz w:val="22"/>
          <w:szCs w:val="22"/>
          <w:lang w:val="hr-HR"/>
        </w:rPr>
        <w:t>2158-95-01-2</w:t>
      </w:r>
      <w:r w:rsidR="000A077E">
        <w:rPr>
          <w:rFonts w:ascii="Times New Roman" w:hAnsi="Times New Roman" w:cs="Times New Roman"/>
          <w:sz w:val="22"/>
          <w:szCs w:val="22"/>
          <w:lang w:val="hr-HR"/>
        </w:rPr>
        <w:t>5</w:t>
      </w:r>
      <w:r w:rsidR="000A077E" w:rsidRPr="000A077E">
        <w:rPr>
          <w:rFonts w:ascii="Times New Roman" w:hAnsi="Times New Roman" w:cs="Times New Roman"/>
          <w:sz w:val="22"/>
          <w:szCs w:val="22"/>
          <w:lang w:val="hr-HR"/>
        </w:rPr>
        <w:t>-1</w:t>
      </w:r>
    </w:p>
    <w:p w14:paraId="662DBC64" w14:textId="3A0AEC31" w:rsidR="00117C88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Osijek, </w:t>
      </w:r>
      <w:r w:rsidR="000A077E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. s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>iječnja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. godine</w:t>
      </w:r>
    </w:p>
    <w:p w14:paraId="03A1385A" w14:textId="77777777" w:rsid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AFB7703" w14:textId="77777777" w:rsidR="004716CF" w:rsidRP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7C118F45" w14:textId="77777777" w:rsidR="00117C88" w:rsidRPr="004716CF" w:rsidRDefault="00DF78AE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SAVJETOVANJE S JAVNOŠĆU </w:t>
      </w:r>
    </w:p>
    <w:p w14:paraId="48B23A75" w14:textId="091C5313" w:rsidR="00117C88" w:rsidRPr="004716CF" w:rsidRDefault="00117C88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 </w:t>
      </w:r>
      <w:r w:rsidR="00936DF3">
        <w:rPr>
          <w:rFonts w:ascii="Times New Roman" w:hAnsi="Times New Roman" w:cs="Times New Roman"/>
          <w:b/>
          <w:bCs/>
          <w:sz w:val="22"/>
          <w:szCs w:val="22"/>
          <w:lang w:val="hr-HR"/>
        </w:rPr>
        <w:t>N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acrtu prijedloga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Pravilnika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bookmarkStart w:id="0" w:name="_Hlk188009571"/>
      <w:r w:rsidR="00F270A8" w:rsidRPr="00F270A8">
        <w:rPr>
          <w:rFonts w:ascii="Times New Roman" w:hAnsi="Times New Roman" w:cs="Times New Roman"/>
          <w:b/>
          <w:bCs/>
          <w:sz w:val="22"/>
          <w:szCs w:val="22"/>
        </w:rPr>
        <w:t>Klinike za uključivo obrazovanje Pravnog fakulteta Osijek</w:t>
      </w:r>
      <w:bookmarkEnd w:id="0"/>
    </w:p>
    <w:p w14:paraId="78798606" w14:textId="77777777" w:rsidR="00117C88" w:rsidRPr="004716CF" w:rsidRDefault="00117C88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917871E" w14:textId="741AFB9E" w:rsidR="00117C88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11. Zakona o pravu na pristup informacijama („Narodne novine“ broj 25/13., 85/15. i 69/22.) radna skupina za izradu Pravilnika </w:t>
      </w:r>
      <w:r w:rsidR="00F270A8" w:rsidRPr="00F270A8">
        <w:rPr>
          <w:rFonts w:ascii="Times New Roman" w:hAnsi="Times New Roman" w:cs="Times New Roman"/>
          <w:sz w:val="22"/>
          <w:szCs w:val="22"/>
          <w:lang w:val="hr-HR"/>
        </w:rPr>
        <w:t xml:space="preserve">Klinike za uključivo obrazovanje Pravnog fakulteta Osijek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upućuje na savjetovanje s javnošću </w:t>
      </w:r>
      <w:r w:rsidR="00C51A22">
        <w:rPr>
          <w:rFonts w:ascii="Times New Roman" w:hAnsi="Times New Roman" w:cs="Times New Roman"/>
          <w:sz w:val="22"/>
          <w:szCs w:val="22"/>
          <w:lang w:val="hr-HR"/>
        </w:rPr>
        <w:t>N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acrt prijedloga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 xml:space="preserve">Pravilnika </w:t>
      </w:r>
      <w:r w:rsidR="00F270A8" w:rsidRPr="00F270A8">
        <w:rPr>
          <w:rFonts w:ascii="Times New Roman" w:hAnsi="Times New Roman" w:cs="Times New Roman"/>
          <w:sz w:val="22"/>
          <w:szCs w:val="22"/>
          <w:lang w:val="hr-HR"/>
        </w:rPr>
        <w:t>Klinike za uključivo obrazovanje Pravnog fakulteta Osijek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6A77C50" w14:textId="77777777" w:rsidR="001373BF" w:rsidRDefault="001373B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AC8044F" w14:textId="77777777" w:rsidR="00DE637C" w:rsidRPr="006D0C00" w:rsidRDefault="00DE637C" w:rsidP="00DE637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D6593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Fakultetsko 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vijeće</w:t>
      </w:r>
      <w:r w:rsidRPr="002D6593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Pravnog fakulteta Osijek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donijelo je </w:t>
      </w:r>
      <w:r w:rsidRPr="002D6593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na sjednici 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održanoj</w:t>
      </w:r>
      <w:r w:rsidRPr="002D6593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dana 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11</w:t>
      </w:r>
      <w:r w:rsidRPr="002D6593">
        <w:rPr>
          <w:rFonts w:ascii="Times New Roman" w:eastAsia="Times New Roman" w:hAnsi="Times New Roman" w:cs="Times New Roman"/>
          <w:sz w:val="22"/>
          <w:szCs w:val="22"/>
          <w:lang w:val="hr-HR"/>
        </w:rPr>
        <w:t>. prosinca 2024.</w:t>
      </w:r>
      <w:r w:rsidRPr="006D0C00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odluku (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KLASA: 007-06/24-01/24, URBROJ: 2158-95-01-24-3) o osnivanju Klinike za uključivo obrazovanje Pravnog fakulteta Osijek u svrhu jačanja socijalne dimenzije visokog obrazovanja na Pravnom fakultetu Osijek, a ponajprije kako bi se poboljšali uvjeti studiranja podzastupljenih i ranjivih skupina studenata te stvorilo uključivo okruženje koje potiče jednakost, raznolikost i odgovara na potrebe lokalne zajednice. 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>A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ktivnosti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>ma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Klinike koje se planiraju 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provoditi u okviru tri djelokruga: edukacija, istra</w:t>
      </w:r>
      <w:r w:rsidRPr="006D0C00">
        <w:rPr>
          <w:rFonts w:ascii="Times New Roman" w:eastAsia="Times New Roman" w:hAnsi="Times New Roman" w:cs="Times New Roman" w:hint="eastAsia"/>
          <w:sz w:val="22"/>
          <w:szCs w:val="22"/>
          <w:lang w:val="hr-HR"/>
        </w:rPr>
        <w:t>ž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ivanje i podr</w:t>
      </w:r>
      <w:r w:rsidRPr="006D0C00">
        <w:rPr>
          <w:rFonts w:ascii="Times New Roman" w:eastAsia="Times New Roman" w:hAnsi="Times New Roman" w:cs="Times New Roman" w:hint="eastAsia"/>
          <w:sz w:val="22"/>
          <w:szCs w:val="22"/>
          <w:lang w:val="hr-HR"/>
        </w:rPr>
        <w:t>š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ka, 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namjerava se </w:t>
      </w:r>
      <w:r w:rsidRPr="00071359">
        <w:rPr>
          <w:rFonts w:ascii="Times New Roman" w:eastAsia="Times New Roman" w:hAnsi="Times New Roman" w:cs="Times New Roman"/>
          <w:sz w:val="22"/>
          <w:szCs w:val="22"/>
          <w:lang w:val="hr-HR"/>
        </w:rPr>
        <w:t>ojačati socijalni kapital unutar Fakulteta, povećati postotak zavr</w:t>
      </w:r>
      <w:r w:rsidRPr="00071359">
        <w:rPr>
          <w:rFonts w:ascii="Times New Roman" w:eastAsia="Times New Roman" w:hAnsi="Times New Roman" w:cs="Times New Roman" w:hint="eastAsia"/>
          <w:sz w:val="22"/>
          <w:szCs w:val="22"/>
          <w:lang w:val="hr-HR"/>
        </w:rPr>
        <w:t>š</w:t>
      </w:r>
      <w:r w:rsidRPr="00071359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etka studija </w:t>
      </w:r>
      <w:r w:rsidRPr="006D0C00">
        <w:rPr>
          <w:rFonts w:ascii="Times New Roman" w:eastAsia="Times New Roman" w:hAnsi="Times New Roman" w:cs="Times New Roman"/>
          <w:sz w:val="22"/>
          <w:szCs w:val="22"/>
          <w:lang w:val="hr-HR"/>
        </w:rPr>
        <w:t>podzastupljenih i ranjivih skupina</w:t>
      </w:r>
      <w:r w:rsidRPr="00071359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studenata te smanjiti usamljenost studenata.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</w:t>
      </w:r>
      <w:r w:rsidRPr="006D0C00">
        <w:rPr>
          <w:rFonts w:ascii="Times New Roman" w:hAnsi="Times New Roman" w:cs="Times New Roman"/>
          <w:sz w:val="22"/>
          <w:szCs w:val="22"/>
          <w:lang w:val="hr-HR"/>
        </w:rPr>
        <w:t>Pravilnikom o organizaciji i djelovanju Klinike za uključivo obrazovanje Pravnog fakulteta Osijek</w:t>
      </w:r>
      <w:r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6D0C0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koji se stavlja na javno savjetovanje,</w:t>
      </w:r>
      <w:r w:rsidRPr="006D0C00">
        <w:rPr>
          <w:rFonts w:ascii="Times New Roman" w:hAnsi="Times New Roman" w:cs="Times New Roman"/>
          <w:sz w:val="22"/>
          <w:szCs w:val="22"/>
          <w:lang w:val="hr-HR"/>
        </w:rPr>
        <w:t xml:space="preserve"> uređuje se unutrašnja organizacija i djelovanje Klinike te propisuju temeljne dužnosti i prava osoba koje sudjeluju u radu Klinike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kako bi se stvorio jasan pravni okvir za ostvarivanje prethodno navedenih ciljeva.</w:t>
      </w:r>
    </w:p>
    <w:p w14:paraId="242A917E" w14:textId="77777777" w:rsidR="00DE637C" w:rsidRDefault="00DE637C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7EB98CC" w14:textId="6312FC81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Nacrt prijedloga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 xml:space="preserve">Pravilnika </w:t>
      </w:r>
      <w:r w:rsidR="00F270A8" w:rsidRPr="00F270A8">
        <w:rPr>
          <w:rFonts w:ascii="Times New Roman" w:hAnsi="Times New Roman" w:cs="Times New Roman"/>
          <w:sz w:val="22"/>
          <w:szCs w:val="22"/>
          <w:lang w:val="hr-HR"/>
        </w:rPr>
        <w:t>Klinike za uključivo obrazovanje Pravnog fakulteta Osijek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objavljen je na mrežnim stranicama Pravnog fakulteta Osijek te je dostupan javnosti i svim članovima akademske zajednice.</w:t>
      </w:r>
    </w:p>
    <w:p w14:paraId="3451B808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0DD04A" w14:textId="2EB54099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Javno savjetovanje započinje </w:t>
      </w:r>
      <w:r w:rsidR="000A077E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="0059359E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siječnja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 i traje do </w:t>
      </w:r>
      <w:r w:rsidR="000A077E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="0059359E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veljače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godine.</w:t>
      </w:r>
    </w:p>
    <w:p w14:paraId="32FC885E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083DB1" w14:textId="0CDF64BD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Komentare, prijedloge i primjedbe na </w:t>
      </w:r>
      <w:r w:rsidR="00F270A8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Nacrt prijedloga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 xml:space="preserve">Pravilnika </w:t>
      </w:r>
      <w:r w:rsidR="00F270A8" w:rsidRPr="00F270A8">
        <w:rPr>
          <w:rFonts w:ascii="Times New Roman" w:hAnsi="Times New Roman" w:cs="Times New Roman"/>
          <w:sz w:val="22"/>
          <w:szCs w:val="22"/>
          <w:lang w:val="hr-HR"/>
        </w:rPr>
        <w:t>Klinike za uključivo obrazovanje Pravnog fakulteta Osijek</w:t>
      </w:r>
      <w:r w:rsidR="00F270A8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moguće je dostaviti putem elektroničke pošte na e-mail </w:t>
      </w:r>
      <w:hyperlink r:id="rId7" w:history="1">
        <w:r w:rsidRPr="004716CF">
          <w:rPr>
            <w:rStyle w:val="Hyperlink"/>
            <w:rFonts w:ascii="Times New Roman" w:hAnsi="Times New Roman" w:cs="Times New Roman"/>
            <w:sz w:val="22"/>
            <w:szCs w:val="22"/>
            <w:lang w:val="hr-HR"/>
          </w:rPr>
          <w:t>savjetovanje@pravos.hr</w:t>
        </w:r>
      </w:hyperlink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na obrascu koji je sastavni dio ovog poziva.</w:t>
      </w:r>
    </w:p>
    <w:p w14:paraId="603363F9" w14:textId="77777777" w:rsidR="004716CF" w:rsidRPr="004716CF" w:rsidRDefault="004716C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8F3BE6" w14:textId="757C65F3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Radna skupina za izradu </w:t>
      </w:r>
      <w:r w:rsidR="00F270A8" w:rsidRPr="00F270A8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Pravilnika Klinike za uključivo obrazovanje Pravnog fakulteta Osijek</w:t>
      </w: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14:paraId="47F9A45F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F23A4BB" w14:textId="78C43C61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1. Izv. prof. dr. sc.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>Nikol Žiha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, predsjednik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, v. r.</w:t>
      </w:r>
    </w:p>
    <w:p w14:paraId="25737A12" w14:textId="0ED46462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C86026" w14:textId="1B568A33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2.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 xml:space="preserve">Doc. dr. sc. Dinka Caha, </w:t>
      </w:r>
      <w:r w:rsidR="00002CC9">
        <w:rPr>
          <w:rFonts w:ascii="Times New Roman" w:hAnsi="Times New Roman" w:cs="Times New Roman"/>
          <w:sz w:val="22"/>
          <w:szCs w:val="22"/>
        </w:rPr>
        <w:t>p</w:t>
      </w:r>
      <w:r w:rsidR="00002CC9" w:rsidRPr="00002CC9">
        <w:rPr>
          <w:rFonts w:ascii="Times New Roman" w:hAnsi="Times New Roman" w:cs="Times New Roman"/>
          <w:sz w:val="22"/>
          <w:szCs w:val="22"/>
        </w:rPr>
        <w:t>rodekanica za nastavu i studente</w:t>
      </w:r>
      <w:r w:rsidR="00002CC9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>članica. v. r.</w:t>
      </w:r>
    </w:p>
    <w:p w14:paraId="3FB12858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DBAA90A" w14:textId="192CF90A" w:rsidR="00CF1BD0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  <w:sectPr w:rsidR="00CF1BD0" w:rsidSect="004716CF">
          <w:headerReference w:type="default" r:id="rId8"/>
          <w:footerReference w:type="default" r:id="rId9"/>
          <w:pgSz w:w="11906" w:h="16838"/>
          <w:pgMar w:top="1134" w:right="1134" w:bottom="1693" w:left="1134" w:header="1134" w:footer="1134" w:gutter="0"/>
          <w:cols w:space="720"/>
        </w:sect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3. </w:t>
      </w:r>
      <w:r w:rsidR="00F270A8">
        <w:rPr>
          <w:rFonts w:ascii="Times New Roman" w:hAnsi="Times New Roman" w:cs="Times New Roman"/>
          <w:sz w:val="22"/>
          <w:szCs w:val="22"/>
          <w:lang w:val="hr-HR"/>
        </w:rPr>
        <w:t>Doc. dr. sc. Marko Sukačić, član, v. 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F1BD0" w:rsidRPr="00CF1BD0" w14:paraId="4094533F" w14:textId="77777777" w:rsidTr="002C19CA">
        <w:trPr>
          <w:trHeight w:val="1266"/>
        </w:trPr>
        <w:tc>
          <w:tcPr>
            <w:tcW w:w="3397" w:type="dxa"/>
            <w:tcBorders>
              <w:right w:val="nil"/>
            </w:tcBorders>
          </w:tcPr>
          <w:p w14:paraId="345D7BB3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noProof/>
                <w:kern w:val="2"/>
                <w:sz w:val="22"/>
                <w:szCs w:val="22"/>
                <w:lang w:val="hr-HR" w:eastAsia="en-US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890242F" wp14:editId="5E1C54E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53663</wp:posOffset>
                  </wp:positionV>
                  <wp:extent cx="1259457" cy="701289"/>
                  <wp:effectExtent l="0" t="0" r="0" b="3810"/>
                  <wp:wrapNone/>
                  <wp:docPr id="719652524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52524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57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015F3EA6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SVEUČILIŠTE JOSIPA JURJA STROSSMAYERA U OSIJEKU</w:t>
            </w:r>
          </w:p>
          <w:p w14:paraId="3DF317C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  <w:t>PRAVNI FAKULTET OSIJEK</w:t>
            </w:r>
          </w:p>
          <w:p w14:paraId="31E342D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STJEPANA RADIĆA 13</w:t>
            </w:r>
          </w:p>
          <w:p w14:paraId="76875351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31000 OSIJEK</w:t>
            </w:r>
          </w:p>
        </w:tc>
      </w:tr>
      <w:tr w:rsidR="00CF1BD0" w:rsidRPr="00CF1BD0" w14:paraId="40E562FB" w14:textId="77777777" w:rsidTr="002C19CA">
        <w:trPr>
          <w:trHeight w:val="1071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54A6571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OBRAZAC</w:t>
            </w:r>
          </w:p>
          <w:p w14:paraId="62225373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  <w:t>za sudjelovanje u postupku savjetovanja s javnošću o</w:t>
            </w:r>
          </w:p>
          <w:p w14:paraId="59E853D8" w14:textId="67BF6815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 xml:space="preserve">Nacrtu prijedloga </w:t>
            </w:r>
            <w:r w:rsidR="00F270A8" w:rsidRPr="00F270A8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Pravilnika Klinike za uključivo obrazovanje Pravnog fakulteta Osijek</w:t>
            </w:r>
          </w:p>
        </w:tc>
      </w:tr>
      <w:tr w:rsidR="00CF1BD0" w:rsidRPr="00CF1BD0" w14:paraId="23192047" w14:textId="77777777" w:rsidTr="002C19CA">
        <w:trPr>
          <w:trHeight w:val="1411"/>
        </w:trPr>
        <w:tc>
          <w:tcPr>
            <w:tcW w:w="3397" w:type="dxa"/>
            <w:shd w:val="clear" w:color="auto" w:fill="FFFFCC"/>
            <w:vAlign w:val="center"/>
          </w:tcPr>
          <w:p w14:paraId="3B13050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Podnositelj</w:t>
            </w:r>
          </w:p>
          <w:p w14:paraId="63B4F98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(ime i prezime fizičke osobe, odnosno naziv pravne osobe i ime osobe koja podnosi prijedlog ili mišljenje za pravnu osobu)</w:t>
            </w:r>
          </w:p>
        </w:tc>
        <w:tc>
          <w:tcPr>
            <w:tcW w:w="5953" w:type="dxa"/>
          </w:tcPr>
          <w:p w14:paraId="30D62A14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3F55934" w14:textId="77777777" w:rsidTr="002C19CA">
        <w:trPr>
          <w:trHeight w:val="977"/>
        </w:trPr>
        <w:tc>
          <w:tcPr>
            <w:tcW w:w="3397" w:type="dxa"/>
            <w:shd w:val="clear" w:color="auto" w:fill="FFFFCC"/>
            <w:vAlign w:val="center"/>
          </w:tcPr>
          <w:p w14:paraId="15F8038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Kategorija dionika</w:t>
            </w:r>
          </w:p>
          <w:p w14:paraId="66AD4E87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(studenti, nastavnici, stručno osoblje, alumni, poslodavci, itd.)</w:t>
            </w:r>
          </w:p>
        </w:tc>
        <w:tc>
          <w:tcPr>
            <w:tcW w:w="5953" w:type="dxa"/>
          </w:tcPr>
          <w:p w14:paraId="21AA791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44EB688A" w14:textId="77777777" w:rsidTr="002C19CA">
        <w:trPr>
          <w:trHeight w:val="425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66BE98C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Načelni prijedlozi i mišljenje na nacrt dokumenta</w:t>
            </w:r>
          </w:p>
        </w:tc>
      </w:tr>
      <w:tr w:rsidR="00CF1BD0" w:rsidRPr="00CF1BD0" w14:paraId="72208874" w14:textId="77777777" w:rsidTr="00CF1BD0">
        <w:trPr>
          <w:trHeight w:val="832"/>
        </w:trPr>
        <w:tc>
          <w:tcPr>
            <w:tcW w:w="9350" w:type="dxa"/>
            <w:gridSpan w:val="2"/>
          </w:tcPr>
          <w:p w14:paraId="1616575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89076A" w14:textId="77777777" w:rsidTr="00CF1BD0">
        <w:trPr>
          <w:trHeight w:val="395"/>
        </w:trPr>
        <w:tc>
          <w:tcPr>
            <w:tcW w:w="9350" w:type="dxa"/>
            <w:gridSpan w:val="2"/>
            <w:tcBorders>
              <w:bottom w:val="single" w:sz="4" w:space="0" w:color="808080"/>
            </w:tcBorders>
            <w:shd w:val="clear" w:color="auto" w:fill="FFFFCC"/>
            <w:vAlign w:val="center"/>
          </w:tcPr>
          <w:p w14:paraId="651FB5A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Primjedbe na pojedine članke ili dijelove nacrta akta ili dokumenta (navesti broj članka i/ili stavka)</w:t>
            </w:r>
          </w:p>
        </w:tc>
      </w:tr>
      <w:tr w:rsidR="00CF1BD0" w:rsidRPr="00CF1BD0" w14:paraId="6C68E13E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E1A0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C967D9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606F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BDFA19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DACE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FBEE81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05A0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B63334" w:rsidRPr="00CF1BD0" w14:paraId="727FBBB7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E779E" w14:textId="77777777" w:rsidR="00B63334" w:rsidRPr="00CF1BD0" w:rsidRDefault="00B63334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1C1476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9AAD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711AEE2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A0B9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187C3BF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9AD3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7870DFA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D2DE8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0439FD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FEA7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E23AF77" w14:textId="77777777" w:rsidTr="00CF1BD0">
        <w:trPr>
          <w:trHeight w:val="459"/>
        </w:trPr>
        <w:tc>
          <w:tcPr>
            <w:tcW w:w="3397" w:type="dxa"/>
            <w:tcBorders>
              <w:top w:val="single" w:sz="4" w:space="0" w:color="808080"/>
            </w:tcBorders>
            <w:shd w:val="clear" w:color="auto" w:fill="FFFFCC"/>
            <w:vAlign w:val="center"/>
          </w:tcPr>
          <w:p w14:paraId="1D58D50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Datum dostavljanja obrasca</w:t>
            </w:r>
          </w:p>
        </w:tc>
        <w:tc>
          <w:tcPr>
            <w:tcW w:w="5953" w:type="dxa"/>
            <w:tcBorders>
              <w:top w:val="single" w:sz="4" w:space="0" w:color="808080"/>
            </w:tcBorders>
          </w:tcPr>
          <w:p w14:paraId="73F2368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E4A3C94" w14:textId="77777777" w:rsidTr="002C19CA">
        <w:tc>
          <w:tcPr>
            <w:tcW w:w="9350" w:type="dxa"/>
            <w:gridSpan w:val="2"/>
          </w:tcPr>
          <w:p w14:paraId="2A0F45F8" w14:textId="002A8EF5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Popunjeni obrazac potrebno je dostaviti zaključno do </w:t>
            </w:r>
            <w:r w:rsidR="000A077E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2</w:t>
            </w:r>
            <w:r w:rsidR="0059359E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1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F270A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veljače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F270A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 elektronskom poštom na adresu </w:t>
            </w:r>
            <w:hyperlink r:id="rId11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savjetovanje@pravos.hr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26FBF77D" w14:textId="2C2E2B65" w:rsidR="00CF1BD0" w:rsidRPr="00CF1BD0" w:rsidRDefault="00CF1BD0" w:rsidP="004219B5">
            <w:pPr>
              <w:widowControl/>
              <w:suppressAutoHyphens w:val="0"/>
              <w:spacing w:after="12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Kontakt osoba: Službenik za informiranje, Marijan Dumančić,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la-Latn" w:eastAsia="en-US" w:bidi="ar-SA"/>
              </w:rPr>
              <w:t>univ. spec. iur.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br/>
              <w:t xml:space="preserve">e-mail: </w:t>
            </w:r>
            <w:hyperlink r:id="rId12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mdumanci@pravos.hr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tel. 031/224-571.</w:t>
            </w:r>
          </w:p>
          <w:p w14:paraId="2B523953" w14:textId="77777777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 pristigli doprinosi će biti razmotreni po završetku savjetovanja, te će biti prihvaćeni, neprihvaćeni ili primljeni na znanje uz obrazloženja koja su sastavnim dijelom Izvješća o savjetovanju s javnošću.</w:t>
            </w:r>
          </w:p>
          <w:p w14:paraId="0C6DE080" w14:textId="6C84D326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Očekivani termin objave izvješća je </w:t>
            </w:r>
            <w:r w:rsidR="000A077E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24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0A077E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veljače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1E21B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godine, a isto će biti objavljeno na web stranici Pravnog fakulteta Osijek, na adresi </w:t>
            </w:r>
            <w:hyperlink r:id="rId13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https://www.pravos.unios.hr/savjetovanje-s-javnoscu/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</w:tc>
      </w:tr>
    </w:tbl>
    <w:p w14:paraId="00A52AFE" w14:textId="77777777" w:rsidR="00CF1BD0" w:rsidRPr="004716CF" w:rsidRDefault="00CF1BD0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CF1BD0" w:rsidRPr="004716CF" w:rsidSect="00CF1BD0">
      <w:pgSz w:w="11906" w:h="16838"/>
      <w:pgMar w:top="1134" w:right="1134" w:bottom="1693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4053" w14:textId="77777777" w:rsidR="0012011F" w:rsidRDefault="0012011F">
      <w:r>
        <w:separator/>
      </w:r>
    </w:p>
  </w:endnote>
  <w:endnote w:type="continuationSeparator" w:id="0">
    <w:p w14:paraId="162A35F3" w14:textId="77777777" w:rsidR="0012011F" w:rsidRDefault="0012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129A" w14:textId="7B029CC3" w:rsidR="00FE37BD" w:rsidRDefault="00635B9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79FDCBCC" wp14:editId="1CB00AE9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7537450" cy="590550"/>
          <wp:effectExtent l="0" t="0" r="635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6"/>
                  <a:stretch/>
                </pic:blipFill>
                <pic:spPr bwMode="auto">
                  <a:xfrm>
                    <a:off x="0" y="0"/>
                    <a:ext cx="75374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CFEC" w14:textId="77777777" w:rsidR="0012011F" w:rsidRDefault="0012011F">
      <w:r>
        <w:separator/>
      </w:r>
    </w:p>
  </w:footnote>
  <w:footnote w:type="continuationSeparator" w:id="0">
    <w:p w14:paraId="64644771" w14:textId="77777777" w:rsidR="0012011F" w:rsidRDefault="0012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F5D7" w14:textId="5845831C" w:rsidR="00FE37BD" w:rsidRDefault="00635B9E">
    <w:pPr>
      <w:pStyle w:val="Header"/>
    </w:pPr>
    <w:bookmarkStart w:id="1" w:name="_Hlk178765262"/>
    <w:bookmarkStart w:id="2" w:name="_Hlk178765263"/>
    <w:r>
      <w:rPr>
        <w:noProof/>
      </w:rPr>
      <w:drawing>
        <wp:anchor distT="0" distB="0" distL="0" distR="0" simplePos="0" relativeHeight="251657216" behindDoc="0" locked="0" layoutInCell="1" allowOverlap="1" wp14:anchorId="57267906" wp14:editId="51918FC6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675" cy="101028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4B6"/>
    <w:multiLevelType w:val="hybridMultilevel"/>
    <w:tmpl w:val="C9CC5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6BD9"/>
    <w:multiLevelType w:val="hybridMultilevel"/>
    <w:tmpl w:val="AC502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048"/>
    <w:multiLevelType w:val="hybridMultilevel"/>
    <w:tmpl w:val="7DDE4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96C85"/>
    <w:multiLevelType w:val="hybridMultilevel"/>
    <w:tmpl w:val="4EF6AE9A"/>
    <w:lvl w:ilvl="0" w:tplc="F39421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6711B"/>
    <w:multiLevelType w:val="hybridMultilevel"/>
    <w:tmpl w:val="CF30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05CF"/>
    <w:multiLevelType w:val="multilevel"/>
    <w:tmpl w:val="182C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0D93E05"/>
    <w:multiLevelType w:val="hybridMultilevel"/>
    <w:tmpl w:val="BD82CBC4"/>
    <w:lvl w:ilvl="0" w:tplc="AA9210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06862"/>
    <w:multiLevelType w:val="hybridMultilevel"/>
    <w:tmpl w:val="537E9772"/>
    <w:lvl w:ilvl="0" w:tplc="ED30D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6B29"/>
    <w:multiLevelType w:val="hybridMultilevel"/>
    <w:tmpl w:val="E110D07E"/>
    <w:lvl w:ilvl="0" w:tplc="76ECC0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E27E9"/>
    <w:multiLevelType w:val="hybridMultilevel"/>
    <w:tmpl w:val="8C4846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FC4CE9"/>
    <w:multiLevelType w:val="hybridMultilevel"/>
    <w:tmpl w:val="8C16C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4C65F3"/>
    <w:multiLevelType w:val="multilevel"/>
    <w:tmpl w:val="6E5C4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C027469"/>
    <w:multiLevelType w:val="hybridMultilevel"/>
    <w:tmpl w:val="03B696F2"/>
    <w:lvl w:ilvl="0" w:tplc="05F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0207"/>
    <w:multiLevelType w:val="hybridMultilevel"/>
    <w:tmpl w:val="2110DED0"/>
    <w:lvl w:ilvl="0" w:tplc="D0282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E5378"/>
    <w:multiLevelType w:val="hybridMultilevel"/>
    <w:tmpl w:val="A1EA379A"/>
    <w:lvl w:ilvl="0" w:tplc="F17EEF8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D343FD"/>
    <w:multiLevelType w:val="hybridMultilevel"/>
    <w:tmpl w:val="28046FF6"/>
    <w:lvl w:ilvl="0" w:tplc="4B0ED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26D4"/>
    <w:multiLevelType w:val="hybridMultilevel"/>
    <w:tmpl w:val="9FE0D780"/>
    <w:lvl w:ilvl="0" w:tplc="729EA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07A97"/>
    <w:multiLevelType w:val="hybridMultilevel"/>
    <w:tmpl w:val="7F44E3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3B2ECB"/>
    <w:multiLevelType w:val="hybridMultilevel"/>
    <w:tmpl w:val="D5E65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290CEB"/>
    <w:multiLevelType w:val="multilevel"/>
    <w:tmpl w:val="985EF48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122843585">
    <w:abstractNumId w:val="12"/>
  </w:num>
  <w:num w:numId="2" w16cid:durableId="2071690958">
    <w:abstractNumId w:val="1"/>
  </w:num>
  <w:num w:numId="3" w16cid:durableId="2028482963">
    <w:abstractNumId w:val="6"/>
  </w:num>
  <w:num w:numId="4" w16cid:durableId="455417355">
    <w:abstractNumId w:val="8"/>
  </w:num>
  <w:num w:numId="5" w16cid:durableId="1318419185">
    <w:abstractNumId w:val="15"/>
  </w:num>
  <w:num w:numId="6" w16cid:durableId="1236740672">
    <w:abstractNumId w:val="14"/>
  </w:num>
  <w:num w:numId="7" w16cid:durableId="41709061">
    <w:abstractNumId w:val="13"/>
  </w:num>
  <w:num w:numId="8" w16cid:durableId="156770363">
    <w:abstractNumId w:val="3"/>
  </w:num>
  <w:num w:numId="9" w16cid:durableId="572930839">
    <w:abstractNumId w:val="7"/>
  </w:num>
  <w:num w:numId="10" w16cid:durableId="317029819">
    <w:abstractNumId w:val="4"/>
  </w:num>
  <w:num w:numId="11" w16cid:durableId="1194463078">
    <w:abstractNumId w:val="16"/>
  </w:num>
  <w:num w:numId="12" w16cid:durableId="2071999952">
    <w:abstractNumId w:val="10"/>
  </w:num>
  <w:num w:numId="13" w16cid:durableId="696153877">
    <w:abstractNumId w:val="0"/>
  </w:num>
  <w:num w:numId="14" w16cid:durableId="1117408431">
    <w:abstractNumId w:val="18"/>
  </w:num>
  <w:num w:numId="15" w16cid:durableId="602149990">
    <w:abstractNumId w:val="11"/>
  </w:num>
  <w:num w:numId="16" w16cid:durableId="812600044">
    <w:abstractNumId w:val="19"/>
  </w:num>
  <w:num w:numId="17" w16cid:durableId="2061394251">
    <w:abstractNumId w:val="9"/>
  </w:num>
  <w:num w:numId="18" w16cid:durableId="998920140">
    <w:abstractNumId w:val="2"/>
  </w:num>
  <w:num w:numId="19" w16cid:durableId="2132094634">
    <w:abstractNumId w:val="5"/>
  </w:num>
  <w:num w:numId="20" w16cid:durableId="1744330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B"/>
    <w:rsid w:val="00002CC9"/>
    <w:rsid w:val="000102EC"/>
    <w:rsid w:val="00015470"/>
    <w:rsid w:val="00054291"/>
    <w:rsid w:val="00055308"/>
    <w:rsid w:val="000A077E"/>
    <w:rsid w:val="000A0955"/>
    <w:rsid w:val="000B2A59"/>
    <w:rsid w:val="000D489C"/>
    <w:rsid w:val="000E4965"/>
    <w:rsid w:val="001057DA"/>
    <w:rsid w:val="00117C88"/>
    <w:rsid w:val="0012011F"/>
    <w:rsid w:val="00123091"/>
    <w:rsid w:val="00123EC1"/>
    <w:rsid w:val="001373BF"/>
    <w:rsid w:val="001E21B7"/>
    <w:rsid w:val="001E447A"/>
    <w:rsid w:val="002B7C23"/>
    <w:rsid w:val="002B7C95"/>
    <w:rsid w:val="00320A1D"/>
    <w:rsid w:val="003309FE"/>
    <w:rsid w:val="0036540C"/>
    <w:rsid w:val="00386476"/>
    <w:rsid w:val="00386E01"/>
    <w:rsid w:val="003C457D"/>
    <w:rsid w:val="004219B5"/>
    <w:rsid w:val="00436243"/>
    <w:rsid w:val="004716CF"/>
    <w:rsid w:val="00485F9F"/>
    <w:rsid w:val="0049374C"/>
    <w:rsid w:val="004D6200"/>
    <w:rsid w:val="004E0CDF"/>
    <w:rsid w:val="00502D28"/>
    <w:rsid w:val="005068A7"/>
    <w:rsid w:val="005173FB"/>
    <w:rsid w:val="0053255C"/>
    <w:rsid w:val="0053331A"/>
    <w:rsid w:val="00551FF3"/>
    <w:rsid w:val="005561F2"/>
    <w:rsid w:val="00572160"/>
    <w:rsid w:val="0059359E"/>
    <w:rsid w:val="005D204E"/>
    <w:rsid w:val="005D28C5"/>
    <w:rsid w:val="005E108B"/>
    <w:rsid w:val="00635B9E"/>
    <w:rsid w:val="0066145E"/>
    <w:rsid w:val="006666E6"/>
    <w:rsid w:val="006903FA"/>
    <w:rsid w:val="0071260A"/>
    <w:rsid w:val="007531C2"/>
    <w:rsid w:val="00763153"/>
    <w:rsid w:val="00771A6D"/>
    <w:rsid w:val="00793F93"/>
    <w:rsid w:val="007A64E1"/>
    <w:rsid w:val="007C4475"/>
    <w:rsid w:val="00906032"/>
    <w:rsid w:val="00936DF3"/>
    <w:rsid w:val="00941084"/>
    <w:rsid w:val="009A0764"/>
    <w:rsid w:val="009B1039"/>
    <w:rsid w:val="009E11F7"/>
    <w:rsid w:val="009E30FC"/>
    <w:rsid w:val="00A14A74"/>
    <w:rsid w:val="00A72ABC"/>
    <w:rsid w:val="00AA0243"/>
    <w:rsid w:val="00B07D6B"/>
    <w:rsid w:val="00B63334"/>
    <w:rsid w:val="00B7078D"/>
    <w:rsid w:val="00B82C89"/>
    <w:rsid w:val="00B9552B"/>
    <w:rsid w:val="00BA041B"/>
    <w:rsid w:val="00C10FE5"/>
    <w:rsid w:val="00C13E25"/>
    <w:rsid w:val="00C42374"/>
    <w:rsid w:val="00C51A22"/>
    <w:rsid w:val="00C52672"/>
    <w:rsid w:val="00C97641"/>
    <w:rsid w:val="00CD4951"/>
    <w:rsid w:val="00CF1BD0"/>
    <w:rsid w:val="00D04C61"/>
    <w:rsid w:val="00D32CBC"/>
    <w:rsid w:val="00D56FBD"/>
    <w:rsid w:val="00D86BFF"/>
    <w:rsid w:val="00D952FD"/>
    <w:rsid w:val="00DA601F"/>
    <w:rsid w:val="00DA60D1"/>
    <w:rsid w:val="00DB3EE2"/>
    <w:rsid w:val="00DD3A4B"/>
    <w:rsid w:val="00DE5594"/>
    <w:rsid w:val="00DE637C"/>
    <w:rsid w:val="00DF78AE"/>
    <w:rsid w:val="00E43759"/>
    <w:rsid w:val="00E5546C"/>
    <w:rsid w:val="00EA5BBF"/>
    <w:rsid w:val="00EB4600"/>
    <w:rsid w:val="00F16716"/>
    <w:rsid w:val="00F270A8"/>
    <w:rsid w:val="00F615AA"/>
    <w:rsid w:val="00F874AF"/>
    <w:rsid w:val="00F9668D"/>
    <w:rsid w:val="00FB026B"/>
    <w:rsid w:val="00FC544A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7795F0"/>
  <w15:chartTrackingRefBased/>
  <w15:docId w15:val="{E1BE4836-F044-4420-8625-CB189ED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uiPriority w:val="1"/>
    <w:qFormat/>
    <w:rsid w:val="00AA024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Course Objective"/>
    <w:basedOn w:val="Normal"/>
    <w:link w:val="ListParagraphChar"/>
    <w:uiPriority w:val="34"/>
    <w:qFormat/>
    <w:rsid w:val="003864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rsid w:val="003864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en-GB" w:bidi="ar-SA"/>
    </w:rPr>
  </w:style>
  <w:style w:type="character" w:customStyle="1" w:styleId="HeaderChar">
    <w:name w:val="Header Char"/>
    <w:link w:val="Header"/>
    <w:rsid w:val="00386476"/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customStyle="1" w:styleId="ListParagraphChar">
    <w:name w:val="List Paragraph Char"/>
    <w:aliases w:val="Course Objective Char"/>
    <w:link w:val="ListParagraph"/>
    <w:uiPriority w:val="34"/>
    <w:locked/>
    <w:rsid w:val="000D489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F7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22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22"/>
    <w:rPr>
      <w:rFonts w:ascii="Segoe UI" w:eastAsia="SimSun" w:hAnsi="Segoe UI" w:cs="Mangal"/>
      <w:kern w:val="1"/>
      <w:sz w:val="18"/>
      <w:szCs w:val="16"/>
      <w:lang w:val="hr-BA" w:eastAsia="zh-CN" w:bidi="hi-IN"/>
    </w:rPr>
  </w:style>
  <w:style w:type="table" w:styleId="TableGrid">
    <w:name w:val="Table Grid"/>
    <w:basedOn w:val="TableNormal"/>
    <w:uiPriority w:val="39"/>
    <w:rsid w:val="00CF1BD0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vos.unios.hr/savjetovanje-s-javnosc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pravos.hr" TargetMode="External"/><Relationship Id="rId12" Type="http://schemas.openxmlformats.org/officeDocument/2006/relationships/hyperlink" Target="mailto:mdumanci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ovanje@pravo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mailto:savjetovanje@pravos.hr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mjerilima i načinu korištenja namjenskih prihoda nenamjenskih donacija i vlastitih prihoda</dc:title>
  <dc:subject/>
  <dc:creator>Ante Novokmet</dc:creator>
  <cp:keywords/>
  <cp:lastModifiedBy>Marijan Dumančić</cp:lastModifiedBy>
  <cp:revision>12</cp:revision>
  <cp:lastPrinted>2024-11-27T09:13:00Z</cp:lastPrinted>
  <dcterms:created xsi:type="dcterms:W3CDTF">2025-01-17T11:38:00Z</dcterms:created>
  <dcterms:modified xsi:type="dcterms:W3CDTF">2025-01-20T11:31:00Z</dcterms:modified>
</cp:coreProperties>
</file>